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6B" w:rsidRPr="009F159E" w:rsidRDefault="00D95740" w:rsidP="009F159E">
      <w:pPr>
        <w:pBdr>
          <w:bottom w:val="single" w:sz="6" w:space="1" w:color="auto"/>
        </w:pBdr>
        <w:rPr>
          <w:rFonts w:ascii="Arial" w:hAnsi="Arial" w:cs="Arial"/>
        </w:rPr>
      </w:pPr>
      <w:r w:rsidRPr="00D95740">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0;margin-top:10.2pt;width:251.3pt;height:110.6pt;z-index:25165926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tL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" stroked="f">
            <v:textbox style="mso-fit-shape-to-text:t">
              <w:txbxContent>
                <w:p w:rsidR="0063739C" w:rsidRPr="0077189B" w:rsidRDefault="0063739C" w:rsidP="0077189B">
                  <w:pPr>
                    <w:jc w:val="center"/>
                    <w:rPr>
                      <w:rFonts w:ascii="Times New Roman" w:hAnsi="Times New Roman" w:cs="Times New Roman"/>
                      <w:b/>
                      <w:bCs/>
                      <w:sz w:val="32"/>
                      <w:szCs w:val="32"/>
                    </w:rPr>
                  </w:pPr>
                  <w:r w:rsidRPr="0077189B">
                    <w:rPr>
                      <w:rFonts w:ascii="Times New Roman" w:hAnsi="Times New Roman" w:cs="Times New Roman"/>
                      <w:b/>
                      <w:bCs/>
                      <w:sz w:val="32"/>
                      <w:szCs w:val="32"/>
                    </w:rPr>
                    <w:t xml:space="preserve">Mathematical </w:t>
                  </w:r>
                  <w:r>
                    <w:rPr>
                      <w:rFonts w:ascii="Times New Roman" w:hAnsi="Times New Roman" w:cs="Times New Roman"/>
                      <w:b/>
                      <w:bCs/>
                      <w:sz w:val="32"/>
                      <w:szCs w:val="32"/>
                    </w:rPr>
                    <w:t>Mode</w:t>
                  </w:r>
                  <w:r w:rsidRPr="0077189B">
                    <w:rPr>
                      <w:rFonts w:ascii="Times New Roman" w:hAnsi="Times New Roman" w:cs="Times New Roman"/>
                      <w:b/>
                      <w:bCs/>
                      <w:sz w:val="32"/>
                      <w:szCs w:val="32"/>
                    </w:rPr>
                    <w:t>lling of Regulatory cascade in Psoriasis</w:t>
                  </w:r>
                </w:p>
              </w:txbxContent>
            </v:textbox>
            <w10:wrap type="topAndBottom" anchorx="margin"/>
          </v:shape>
        </w:pict>
      </w:r>
    </w:p>
    <w:p w:rsidR="009F159E" w:rsidRDefault="0077189B" w:rsidP="009F159E">
      <w:pPr>
        <w:jc w:val="center"/>
        <w:rPr>
          <w:rFonts w:ascii="Arial" w:hAnsi="Arial" w:cs="Arial"/>
          <w:vertAlign w:val="superscript"/>
        </w:rPr>
      </w:pPr>
      <w:r w:rsidRPr="0077189B">
        <w:rPr>
          <w:rFonts w:ascii="Arial" w:hAnsi="Arial" w:cs="Arial"/>
        </w:rPr>
        <w:t>H</w:t>
      </w:r>
      <w:r>
        <w:rPr>
          <w:rFonts w:ascii="Arial" w:hAnsi="Arial" w:cs="Arial"/>
        </w:rPr>
        <w:t>arishchander Anandaram</w:t>
      </w:r>
      <w:r w:rsidR="009F159E" w:rsidRPr="009F159E">
        <w:rPr>
          <w:rFonts w:ascii="Arial" w:hAnsi="Arial" w:cs="Arial"/>
          <w:vertAlign w:val="superscript"/>
        </w:rPr>
        <w:t>1</w:t>
      </w:r>
      <w:r w:rsidR="009F159E" w:rsidRPr="009F159E">
        <w:rPr>
          <w:rFonts w:ascii="Arial" w:hAnsi="Arial" w:cs="Arial"/>
        </w:rPr>
        <w:t xml:space="preserve">, </w:t>
      </w:r>
      <w:r w:rsidR="0063739C">
        <w:rPr>
          <w:rFonts w:ascii="Arial" w:hAnsi="Arial" w:cs="Arial"/>
        </w:rPr>
        <w:t>Daniel Alex Anand</w:t>
      </w:r>
      <w:r w:rsidR="009F159E" w:rsidRPr="009F159E">
        <w:rPr>
          <w:rFonts w:ascii="Arial" w:hAnsi="Arial" w:cs="Arial"/>
          <w:vertAlign w:val="superscript"/>
        </w:rPr>
        <w:t>2</w:t>
      </w:r>
    </w:p>
    <w:p w:rsidR="0063739C" w:rsidRDefault="0063739C" w:rsidP="0063739C">
      <w:pPr>
        <w:rPr>
          <w:rFonts w:ascii="Arial" w:hAnsi="Arial" w:cs="Arial"/>
        </w:rPr>
      </w:pPr>
      <w:r>
        <w:rPr>
          <w:rFonts w:ascii="Arial" w:hAnsi="Arial" w:cs="Arial"/>
          <w:vertAlign w:val="superscript"/>
        </w:rPr>
        <w:t>1</w:t>
      </w:r>
      <w:r>
        <w:rPr>
          <w:rFonts w:ascii="Arial" w:hAnsi="Arial" w:cs="Arial"/>
        </w:rPr>
        <w:t>Centre for Excellence in Computational Engineering and Networking, Amrita Vishwa Vidyapeetham, Coimbatore, Tamil Nadu, India</w:t>
      </w:r>
    </w:p>
    <w:p w:rsidR="0063739C" w:rsidRPr="0063739C" w:rsidRDefault="0063739C" w:rsidP="0063739C">
      <w:pPr>
        <w:rPr>
          <w:rFonts w:ascii="Arial" w:hAnsi="Arial" w:cs="Arial"/>
        </w:rPr>
      </w:pPr>
      <w:r w:rsidRPr="005D703D">
        <w:rPr>
          <w:rFonts w:ascii="Arial" w:hAnsi="Arial" w:cs="Arial"/>
          <w:vertAlign w:val="superscript"/>
        </w:rPr>
        <w:t>2</w:t>
      </w:r>
      <w:r w:rsidR="005D703D">
        <w:rPr>
          <w:rFonts w:ascii="Arial" w:hAnsi="Arial" w:cs="Arial"/>
        </w:rPr>
        <w:t xml:space="preserve">Department of Bioinformatics, </w:t>
      </w:r>
      <w:r w:rsidRPr="005D703D">
        <w:rPr>
          <w:rFonts w:ascii="Arial" w:hAnsi="Arial" w:cs="Arial"/>
        </w:rPr>
        <w:t>Sathyabama</w:t>
      </w:r>
      <w:r>
        <w:rPr>
          <w:rFonts w:ascii="Arial" w:hAnsi="Arial" w:cs="Arial"/>
        </w:rPr>
        <w:t xml:space="preserve"> Institute of Science Technology, Chennai, Tamil Nadu, India</w:t>
      </w:r>
    </w:p>
    <w:p w:rsidR="009F159E" w:rsidRPr="009F159E" w:rsidRDefault="009F159E" w:rsidP="009F159E">
      <w:pPr>
        <w:pBdr>
          <w:bottom w:val="single" w:sz="6" w:space="1" w:color="auto"/>
        </w:pBdr>
        <w:jc w:val="center"/>
        <w:rPr>
          <w:rFonts w:ascii="Arial" w:hAnsi="Arial" w:cs="Arial"/>
        </w:rPr>
      </w:pPr>
      <w:r w:rsidRPr="009F159E">
        <w:rPr>
          <w:rFonts w:ascii="Arial" w:hAnsi="Arial" w:cs="Arial"/>
        </w:rPr>
        <w:t>E</w:t>
      </w:r>
      <w:r w:rsidR="0063739C">
        <w:rPr>
          <w:rFonts w:ascii="Arial" w:hAnsi="Arial" w:cs="Arial"/>
        </w:rPr>
        <w:t>mail ID: a_harishchander@cb.amrita.edu</w:t>
      </w:r>
    </w:p>
    <w:p w:rsidR="009F159E" w:rsidRPr="009F159E" w:rsidRDefault="009F159E" w:rsidP="009F159E">
      <w:pPr>
        <w:jc w:val="both"/>
        <w:rPr>
          <w:rFonts w:ascii="Arial" w:hAnsi="Arial" w:cs="Arial"/>
        </w:rPr>
      </w:pPr>
      <w:r w:rsidRPr="009F159E">
        <w:rPr>
          <w:rFonts w:ascii="Arial" w:hAnsi="Arial" w:cs="Arial"/>
          <w:b/>
          <w:bCs/>
        </w:rPr>
        <w:t xml:space="preserve">Abstract </w:t>
      </w:r>
    </w:p>
    <w:p w:rsidR="00623083" w:rsidRDefault="0063739C" w:rsidP="00623083">
      <w:pPr>
        <w:pStyle w:val="BodyofPaper"/>
        <w:spacing w:line="360" w:lineRule="auto"/>
        <w:ind w:firstLine="0"/>
      </w:pPr>
      <w:r w:rsidRPr="005D703D">
        <w:rPr>
          <w:rFonts w:ascii="Arial" w:hAnsi="Arial" w:cs="Arial"/>
          <w:sz w:val="22"/>
          <w:szCs w:val="22"/>
        </w:rPr>
        <w:t xml:space="preserve">In the post-genomic era, mathematical modeling of regulatory cascades in gene-regulated networks in </w:t>
      </w:r>
      <w:r w:rsidRPr="005D703D">
        <w:rPr>
          <w:rStyle w:val="e24kjd"/>
          <w:rFonts w:ascii="Arial" w:eastAsiaTheme="majorEastAsia" w:hAnsi="Arial" w:cs="Arial"/>
          <w:sz w:val="22"/>
          <w:szCs w:val="22"/>
        </w:rPr>
        <w:t>autoimmune</w:t>
      </w:r>
      <w:r w:rsidRPr="005D703D">
        <w:rPr>
          <w:rFonts w:ascii="Arial" w:hAnsi="Arial" w:cs="Arial"/>
          <w:sz w:val="22"/>
          <w:szCs w:val="22"/>
        </w:rPr>
        <w:t xml:space="preserve"> diseases (AIDs) like Psoriasis is an uphill task to execute.</w:t>
      </w:r>
      <w:r w:rsidR="009F159E" w:rsidRPr="005D703D">
        <w:rPr>
          <w:rFonts w:ascii="Arial" w:eastAsia="Times New Roman" w:hAnsi="Arial" w:cs="Arial"/>
          <w:sz w:val="22"/>
          <w:szCs w:val="22"/>
          <w:lang w:eastAsia="en-IN"/>
        </w:rPr>
        <w:t xml:space="preserve"> </w:t>
      </w:r>
      <w:r w:rsidRPr="005D703D">
        <w:rPr>
          <w:rFonts w:ascii="Arial" w:eastAsia="Times New Roman" w:hAnsi="Arial" w:cs="Arial"/>
          <w:sz w:val="22"/>
          <w:szCs w:val="22"/>
          <w:lang w:eastAsia="en-IN"/>
        </w:rPr>
        <w:t xml:space="preserve">Understanding </w:t>
      </w:r>
      <w:r w:rsidR="00623083">
        <w:rPr>
          <w:rFonts w:ascii="Arial" w:eastAsia="Times New Roman" w:hAnsi="Arial" w:cs="Arial"/>
          <w:sz w:val="22"/>
          <w:szCs w:val="22"/>
          <w:lang w:eastAsia="en-IN"/>
        </w:rPr>
        <w:t>gene-</w:t>
      </w:r>
      <w:r w:rsidRPr="005D703D">
        <w:rPr>
          <w:rFonts w:ascii="Arial" w:eastAsia="Times New Roman" w:hAnsi="Arial" w:cs="Arial"/>
          <w:sz w:val="22"/>
          <w:szCs w:val="22"/>
          <w:lang w:eastAsia="en-IN"/>
        </w:rPr>
        <w:t>regulated network</w:t>
      </w:r>
      <w:r w:rsidR="00623083">
        <w:rPr>
          <w:rFonts w:ascii="Arial" w:eastAsia="Times New Roman" w:hAnsi="Arial" w:cs="Arial"/>
          <w:sz w:val="22"/>
          <w:szCs w:val="22"/>
          <w:lang w:eastAsia="en-IN"/>
        </w:rPr>
        <w:t>s</w:t>
      </w:r>
      <w:r w:rsidRPr="005D703D">
        <w:rPr>
          <w:rFonts w:ascii="Arial" w:eastAsia="Times New Roman" w:hAnsi="Arial" w:cs="Arial"/>
          <w:sz w:val="22"/>
          <w:szCs w:val="22"/>
          <w:lang w:eastAsia="en-IN"/>
        </w:rPr>
        <w:t xml:space="preserve"> in Pathogenesis is vital to identify the therapeutic</w:t>
      </w:r>
      <w:r w:rsidRPr="005D703D">
        <w:rPr>
          <w:rFonts w:ascii="Arial" w:eastAsia="Times New Roman" w:hAnsi="Arial" w:cs="Arial"/>
          <w:color w:val="222222"/>
          <w:sz w:val="22"/>
          <w:szCs w:val="22"/>
          <w:lang w:eastAsia="en-IN"/>
        </w:rPr>
        <w:t xml:space="preserve"> biomarkers.</w:t>
      </w:r>
      <w:r w:rsidRPr="005D703D">
        <w:rPr>
          <w:rFonts w:ascii="Arial" w:eastAsia="Times New Roman" w:hAnsi="Arial" w:cs="Arial"/>
          <w:sz w:val="22"/>
          <w:szCs w:val="22"/>
          <w:lang w:eastAsia="en-IN"/>
        </w:rPr>
        <w:t xml:space="preserve"> Construction of a high</w:t>
      </w:r>
      <w:r w:rsidR="00623083">
        <w:rPr>
          <w:rFonts w:ascii="Arial" w:eastAsia="Times New Roman" w:hAnsi="Arial" w:cs="Arial"/>
          <w:sz w:val="22"/>
          <w:szCs w:val="22"/>
          <w:lang w:eastAsia="en-IN"/>
        </w:rPr>
        <w:t>-</w:t>
      </w:r>
      <w:r w:rsidRPr="005D703D">
        <w:rPr>
          <w:rFonts w:ascii="Arial" w:eastAsia="Times New Roman" w:hAnsi="Arial" w:cs="Arial"/>
          <w:sz w:val="22"/>
          <w:szCs w:val="22"/>
          <w:lang w:eastAsia="en-IN"/>
        </w:rPr>
        <w:t xml:space="preserve">dimensional regulatory network </w:t>
      </w:r>
      <w:r w:rsidR="005D703D" w:rsidRPr="005D703D">
        <w:rPr>
          <w:rFonts w:ascii="Arial" w:eastAsia="Times New Roman" w:hAnsi="Arial" w:cs="Arial"/>
          <w:sz w:val="22"/>
          <w:szCs w:val="22"/>
          <w:lang w:eastAsia="en-IN"/>
        </w:rPr>
        <w:t>and partitioning the specific regulatory region is the process of identification.</w:t>
      </w:r>
      <w:r w:rsidR="005D703D" w:rsidRPr="005D703D">
        <w:rPr>
          <w:rFonts w:ascii="Arial" w:eastAsia="Times New Roman" w:hAnsi="Arial" w:cs="Arial"/>
          <w:color w:val="222222"/>
          <w:sz w:val="22"/>
          <w:szCs w:val="22"/>
          <w:lang w:eastAsia="en-IN"/>
        </w:rPr>
        <w:t xml:space="preserve"> </w:t>
      </w:r>
      <w:r w:rsidR="005D703D" w:rsidRPr="005D703D">
        <w:rPr>
          <w:rFonts w:ascii="Arial" w:eastAsia="Times New Roman" w:hAnsi="Arial" w:cs="Arial"/>
          <w:sz w:val="22"/>
          <w:szCs w:val="22"/>
          <w:lang w:eastAsia="en-IN"/>
        </w:rPr>
        <w:t xml:space="preserve">Degree identification is the network parameter </w:t>
      </w:r>
      <w:r w:rsidR="00623083">
        <w:rPr>
          <w:rFonts w:ascii="Arial" w:eastAsia="Times New Roman" w:hAnsi="Arial" w:cs="Arial"/>
          <w:sz w:val="22"/>
          <w:szCs w:val="22"/>
          <w:lang w:eastAsia="en-IN"/>
        </w:rPr>
        <w:t>that</w:t>
      </w:r>
      <w:r w:rsidR="005D703D" w:rsidRPr="005D703D">
        <w:rPr>
          <w:rFonts w:ascii="Arial" w:eastAsia="Times New Roman" w:hAnsi="Arial" w:cs="Arial"/>
          <w:sz w:val="22"/>
          <w:szCs w:val="22"/>
          <w:lang w:eastAsia="en-IN"/>
        </w:rPr>
        <w:t xml:space="preserve"> is widely used in the process of identification of regulated region</w:t>
      </w:r>
      <w:r w:rsidR="00623083">
        <w:rPr>
          <w:rFonts w:ascii="Arial" w:eastAsia="Times New Roman" w:hAnsi="Arial" w:cs="Arial"/>
          <w:sz w:val="22"/>
          <w:szCs w:val="22"/>
          <w:lang w:eastAsia="en-IN"/>
        </w:rPr>
        <w:t>s</w:t>
      </w:r>
      <w:r w:rsidR="005D703D" w:rsidRPr="005D703D">
        <w:rPr>
          <w:rFonts w:ascii="Arial" w:eastAsia="Times New Roman" w:hAnsi="Arial" w:cs="Arial"/>
          <w:color w:val="222222"/>
          <w:sz w:val="22"/>
          <w:szCs w:val="22"/>
          <w:lang w:eastAsia="en-IN"/>
        </w:rPr>
        <w:t xml:space="preserve">. The tool Cytoscape is used for the </w:t>
      </w:r>
      <w:r w:rsidR="00623083">
        <w:rPr>
          <w:rFonts w:ascii="Arial" w:eastAsia="Times New Roman" w:hAnsi="Arial" w:cs="Arial"/>
          <w:color w:val="222222"/>
          <w:sz w:val="22"/>
          <w:szCs w:val="22"/>
          <w:lang w:eastAsia="en-IN"/>
        </w:rPr>
        <w:t>c</w:t>
      </w:r>
      <w:r w:rsidR="005D703D" w:rsidRPr="005D703D">
        <w:rPr>
          <w:rFonts w:ascii="Arial" w:eastAsia="Times New Roman" w:hAnsi="Arial" w:cs="Arial"/>
          <w:color w:val="222222"/>
          <w:sz w:val="22"/>
          <w:szCs w:val="22"/>
          <w:lang w:eastAsia="en-IN"/>
        </w:rPr>
        <w:t>onstruction of regulatory network</w:t>
      </w:r>
      <w:r w:rsidR="00623083">
        <w:rPr>
          <w:rFonts w:ascii="Arial" w:eastAsia="Times New Roman" w:hAnsi="Arial" w:cs="Arial"/>
          <w:color w:val="222222"/>
          <w:sz w:val="22"/>
          <w:szCs w:val="22"/>
          <w:lang w:eastAsia="en-IN"/>
        </w:rPr>
        <w:t>s</w:t>
      </w:r>
      <w:r w:rsidR="005D703D" w:rsidRPr="005D703D">
        <w:rPr>
          <w:rFonts w:ascii="Arial" w:eastAsia="Times New Roman" w:hAnsi="Arial" w:cs="Arial"/>
          <w:color w:val="222222"/>
          <w:sz w:val="22"/>
          <w:szCs w:val="22"/>
          <w:lang w:eastAsia="en-IN"/>
        </w:rPr>
        <w:t>.</w:t>
      </w:r>
      <w:r w:rsidR="009F159E" w:rsidRPr="005D703D">
        <w:rPr>
          <w:rFonts w:ascii="Arial" w:eastAsia="Times New Roman" w:hAnsi="Arial" w:cs="Arial"/>
          <w:color w:val="222222"/>
          <w:sz w:val="22"/>
          <w:szCs w:val="22"/>
          <w:lang w:eastAsia="en-IN"/>
        </w:rPr>
        <w:t xml:space="preserve"> </w:t>
      </w:r>
      <w:r w:rsidR="005D703D" w:rsidRPr="005D703D">
        <w:rPr>
          <w:rFonts w:ascii="Arial" w:eastAsia="Times New Roman" w:hAnsi="Arial" w:cs="Arial"/>
          <w:color w:val="222222"/>
          <w:sz w:val="22"/>
          <w:szCs w:val="22"/>
          <w:lang w:eastAsia="en-IN"/>
        </w:rPr>
        <w:t>Pharmacogenomic</w:t>
      </w:r>
      <w:r w:rsidR="00623083">
        <w:rPr>
          <w:rFonts w:ascii="Arial" w:eastAsia="Times New Roman" w:hAnsi="Arial" w:cs="Arial"/>
          <w:color w:val="222222"/>
          <w:sz w:val="22"/>
          <w:szCs w:val="22"/>
          <w:lang w:eastAsia="en-IN"/>
        </w:rPr>
        <w:t>-</w:t>
      </w:r>
      <w:r w:rsidR="005D703D" w:rsidRPr="005D703D">
        <w:rPr>
          <w:rFonts w:ascii="Arial" w:eastAsia="Times New Roman" w:hAnsi="Arial" w:cs="Arial"/>
          <w:color w:val="222222"/>
          <w:sz w:val="22"/>
          <w:szCs w:val="22"/>
          <w:lang w:eastAsia="en-IN"/>
        </w:rPr>
        <w:t xml:space="preserve">based Micro-RNA regulation is the vital factor for the identification regulatory cascade. </w:t>
      </w:r>
      <w:r w:rsidR="005D703D" w:rsidRPr="005D703D">
        <w:rPr>
          <w:rFonts w:ascii="Arial" w:eastAsia="Times New Roman" w:hAnsi="Arial" w:cs="Arial"/>
          <w:sz w:val="22"/>
          <w:szCs w:val="22"/>
          <w:lang w:eastAsia="en-IN"/>
        </w:rPr>
        <w:t>The</w:t>
      </w:r>
      <w:r w:rsidR="009F159E" w:rsidRPr="005D703D">
        <w:rPr>
          <w:rFonts w:ascii="Arial" w:eastAsia="Times New Roman" w:hAnsi="Arial" w:cs="Arial"/>
          <w:sz w:val="22"/>
          <w:szCs w:val="22"/>
          <w:lang w:eastAsia="en-IN"/>
        </w:rPr>
        <w:t xml:space="preserve"> </w:t>
      </w:r>
      <w:r w:rsidR="005D703D" w:rsidRPr="005D703D">
        <w:rPr>
          <w:rFonts w:ascii="Arial" w:eastAsia="Times New Roman" w:hAnsi="Arial" w:cs="Arial"/>
          <w:sz w:val="22"/>
          <w:szCs w:val="22"/>
          <w:lang w:eastAsia="en-IN"/>
        </w:rPr>
        <w:t xml:space="preserve">pathway of </w:t>
      </w:r>
      <w:r w:rsidR="00623083">
        <w:rPr>
          <w:rFonts w:ascii="Arial" w:eastAsia="Times New Roman" w:hAnsi="Arial" w:cs="Arial"/>
          <w:sz w:val="22"/>
          <w:szCs w:val="22"/>
          <w:lang w:eastAsia="en-IN"/>
        </w:rPr>
        <w:t xml:space="preserve">the </w:t>
      </w:r>
      <w:r w:rsidR="005D703D" w:rsidRPr="005D703D">
        <w:rPr>
          <w:rFonts w:ascii="Arial" w:eastAsia="Times New Roman" w:hAnsi="Arial" w:cs="Arial"/>
          <w:sz w:val="22"/>
          <w:szCs w:val="22"/>
          <w:lang w:eastAsia="en-IN"/>
        </w:rPr>
        <w:t xml:space="preserve">regulatory cascade is the initiation factor for </w:t>
      </w:r>
      <w:r w:rsidR="00623083">
        <w:rPr>
          <w:rFonts w:ascii="Arial" w:eastAsia="Times New Roman" w:hAnsi="Arial" w:cs="Arial"/>
          <w:sz w:val="22"/>
          <w:szCs w:val="22"/>
          <w:lang w:eastAsia="en-IN"/>
        </w:rPr>
        <w:t>P</w:t>
      </w:r>
      <w:r w:rsidR="005D703D" w:rsidRPr="005D703D">
        <w:rPr>
          <w:rFonts w:ascii="Arial" w:eastAsia="Times New Roman" w:hAnsi="Arial" w:cs="Arial"/>
          <w:sz w:val="22"/>
          <w:szCs w:val="22"/>
          <w:lang w:eastAsia="en-IN"/>
        </w:rPr>
        <w:t>athogenesis. Most of the regions in the regulatory cascade serve as prognostic, therapeutic</w:t>
      </w:r>
      <w:r w:rsidR="00623083">
        <w:rPr>
          <w:rFonts w:ascii="Arial" w:eastAsia="Times New Roman" w:hAnsi="Arial" w:cs="Arial"/>
          <w:sz w:val="22"/>
          <w:szCs w:val="22"/>
          <w:lang w:eastAsia="en-IN"/>
        </w:rPr>
        <w:t>,</w:t>
      </w:r>
      <w:r w:rsidR="005D703D" w:rsidRPr="005D703D">
        <w:rPr>
          <w:rFonts w:ascii="Arial" w:eastAsia="Times New Roman" w:hAnsi="Arial" w:cs="Arial"/>
          <w:sz w:val="22"/>
          <w:szCs w:val="22"/>
          <w:lang w:eastAsia="en-IN"/>
        </w:rPr>
        <w:t xml:space="preserve"> and diagnostic biomarker</w:t>
      </w:r>
      <w:r w:rsidR="00623083">
        <w:rPr>
          <w:rFonts w:ascii="Arial" w:eastAsia="Times New Roman" w:hAnsi="Arial" w:cs="Arial"/>
          <w:sz w:val="22"/>
          <w:szCs w:val="22"/>
          <w:lang w:eastAsia="en-IN"/>
        </w:rPr>
        <w:t>s</w:t>
      </w:r>
      <w:r w:rsidR="005D703D" w:rsidRPr="005D703D">
        <w:rPr>
          <w:rFonts w:ascii="Arial" w:eastAsia="Times New Roman" w:hAnsi="Arial" w:cs="Arial"/>
          <w:sz w:val="22"/>
          <w:szCs w:val="22"/>
          <w:lang w:eastAsia="en-IN"/>
        </w:rPr>
        <w:t>.</w:t>
      </w:r>
      <w:r w:rsidR="005D703D" w:rsidRPr="005D703D">
        <w:rPr>
          <w:rFonts w:ascii="Arial" w:hAnsi="Arial" w:cs="Arial"/>
          <w:sz w:val="22"/>
          <w:szCs w:val="22"/>
        </w:rPr>
        <w:t xml:space="preserve"> In Psoriasis, the myeloid dendritic cells produce a negative factor in interleukins' differential expression [1]. The interleukin gene IL36A was expressed differentially with a significant fold change in various studies [2]. The gene IL36A is associated with the protein IL23 and initiates signaling in dendritic cells to induce epidermal hyperplasia [3]. IL23, TNFα, IL17, CXC, and CCL20 were involved in releasing antimicrobial peptides (AMP) in the signaling process [4]. In total, 316 unique genes were selected to construct the regulatory network </w:t>
      </w:r>
      <w:r w:rsidR="005D703D" w:rsidRPr="005D703D">
        <w:rPr>
          <w:rFonts w:ascii="Arial" w:hAnsi="Arial" w:cs="Arial"/>
          <w:spacing w:val="-3"/>
          <w:sz w:val="22"/>
          <w:szCs w:val="22"/>
        </w:rPr>
        <w:t>of</w:t>
      </w:r>
      <w:r w:rsidR="005D703D" w:rsidRPr="005D703D">
        <w:rPr>
          <w:rFonts w:ascii="Arial" w:hAnsi="Arial" w:cs="Arial"/>
          <w:spacing w:val="-6"/>
          <w:sz w:val="22"/>
          <w:szCs w:val="22"/>
        </w:rPr>
        <w:t xml:space="preserve"> </w:t>
      </w:r>
      <w:r w:rsidR="005D703D" w:rsidRPr="005D703D">
        <w:rPr>
          <w:rFonts w:ascii="Arial" w:hAnsi="Arial" w:cs="Arial"/>
          <w:sz w:val="22"/>
          <w:szCs w:val="22"/>
        </w:rPr>
        <w:t>Psoriasis. The majority of the obtained gene regulatory relationships (Gene-TFs-miRNA) were confirmed by various experimental studies published in the literature to demonstrate the validity-regulated genes in Psoriasis (</w:t>
      </w:r>
      <w:r w:rsidR="005D703D" w:rsidRPr="005D703D">
        <w:rPr>
          <w:rFonts w:ascii="Arial" w:hAnsi="Arial" w:cs="Arial"/>
          <w:b/>
          <w:bCs/>
          <w:sz w:val="22"/>
          <w:szCs w:val="22"/>
        </w:rPr>
        <w:t>Fig.</w:t>
      </w:r>
      <w:r w:rsidR="005D703D" w:rsidRPr="005D703D">
        <w:rPr>
          <w:rFonts w:ascii="Arial" w:hAnsi="Arial" w:cs="Arial"/>
          <w:sz w:val="22"/>
          <w:szCs w:val="22"/>
        </w:rPr>
        <w:t xml:space="preserve"> 1</w:t>
      </w:r>
      <w:r w:rsidR="005D703D">
        <w:rPr>
          <w:rFonts w:ascii="Arial" w:hAnsi="Arial" w:cs="Arial"/>
          <w:sz w:val="22"/>
          <w:szCs w:val="22"/>
        </w:rPr>
        <w:t>A</w:t>
      </w:r>
      <w:r w:rsidR="005D703D" w:rsidRPr="005D703D">
        <w:rPr>
          <w:rFonts w:ascii="Arial" w:hAnsi="Arial" w:cs="Arial"/>
          <w:sz w:val="22"/>
          <w:szCs w:val="22"/>
        </w:rPr>
        <w:t>).</w:t>
      </w:r>
      <w:r w:rsidR="005D703D" w:rsidRPr="005D703D">
        <w:rPr>
          <w:noProof/>
          <w:sz w:val="22"/>
          <w:szCs w:val="22"/>
          <w:lang w:bidi="ta-IN"/>
        </w:rPr>
        <w:t xml:space="preserve"> </w:t>
      </w:r>
      <w:r w:rsidR="00623083">
        <w:rPr>
          <w:rFonts w:ascii="Arial" w:hAnsi="Arial" w:cs="Arial"/>
          <w:noProof/>
          <w:sz w:val="22"/>
          <w:szCs w:val="22"/>
          <w:lang w:bidi="ta-IN"/>
        </w:rPr>
        <w:t>SRF</w:t>
      </w:r>
      <w:r w:rsidR="005D703D" w:rsidRPr="005D703D">
        <w:rPr>
          <w:rFonts w:ascii="Arial" w:hAnsi="Arial" w:cs="Arial"/>
          <w:noProof/>
          <w:sz w:val="22"/>
          <w:szCs w:val="22"/>
          <w:lang w:bidi="ta-IN"/>
        </w:rPr>
        <w:t xml:space="preserve"> gene family (</w:t>
      </w:r>
      <w:r w:rsidR="005D703D" w:rsidRPr="005D703D">
        <w:rPr>
          <w:rFonts w:ascii="Arial" w:hAnsi="Arial" w:cs="Arial"/>
          <w:b/>
          <w:bCs/>
          <w:noProof/>
          <w:sz w:val="22"/>
          <w:szCs w:val="22"/>
          <w:lang w:bidi="ta-IN"/>
        </w:rPr>
        <w:t>Fig.</w:t>
      </w:r>
      <w:r w:rsidR="005D703D" w:rsidRPr="005D703D">
        <w:rPr>
          <w:rFonts w:ascii="Arial" w:hAnsi="Arial" w:cs="Arial"/>
          <w:noProof/>
          <w:sz w:val="22"/>
          <w:szCs w:val="22"/>
          <w:lang w:bidi="ta-IN"/>
        </w:rPr>
        <w:t xml:space="preserve"> 1B) and the co</w:t>
      </w:r>
      <w:r w:rsidR="00623083">
        <w:rPr>
          <w:rFonts w:ascii="Arial" w:hAnsi="Arial" w:cs="Arial"/>
          <w:noProof/>
          <w:sz w:val="22"/>
          <w:szCs w:val="22"/>
          <w:lang w:bidi="ta-IN"/>
        </w:rPr>
        <w:t>-</w:t>
      </w:r>
      <w:r w:rsidR="005D703D" w:rsidRPr="005D703D">
        <w:rPr>
          <w:rFonts w:ascii="Arial" w:hAnsi="Arial" w:cs="Arial"/>
          <w:noProof/>
          <w:sz w:val="22"/>
          <w:szCs w:val="22"/>
          <w:lang w:bidi="ta-IN"/>
        </w:rPr>
        <w:t xml:space="preserve">regulators serve as an additional biomarker and the relative regulator of </w:t>
      </w:r>
      <w:r w:rsidR="00623083">
        <w:rPr>
          <w:rFonts w:ascii="Arial" w:hAnsi="Arial" w:cs="Arial"/>
          <w:noProof/>
          <w:sz w:val="22"/>
          <w:szCs w:val="22"/>
          <w:lang w:bidi="ta-IN"/>
        </w:rPr>
        <w:t>Pathogenesis</w:t>
      </w:r>
      <w:r w:rsidR="005D703D" w:rsidRPr="005D703D">
        <w:rPr>
          <w:rFonts w:ascii="Arial" w:hAnsi="Arial" w:cs="Arial"/>
          <w:noProof/>
          <w:sz w:val="22"/>
          <w:szCs w:val="22"/>
          <w:lang w:bidi="ta-IN"/>
        </w:rPr>
        <w:t xml:space="preserve"> in </w:t>
      </w:r>
      <w:r w:rsidR="00623083">
        <w:rPr>
          <w:rFonts w:ascii="Arial" w:hAnsi="Arial" w:cs="Arial"/>
          <w:noProof/>
          <w:sz w:val="22"/>
          <w:szCs w:val="22"/>
          <w:lang w:bidi="ta-IN"/>
        </w:rPr>
        <w:t>P</w:t>
      </w:r>
      <w:r w:rsidR="005D703D" w:rsidRPr="005D703D">
        <w:rPr>
          <w:rFonts w:ascii="Arial" w:hAnsi="Arial" w:cs="Arial"/>
          <w:noProof/>
          <w:sz w:val="22"/>
          <w:szCs w:val="22"/>
          <w:lang w:bidi="ta-IN"/>
        </w:rPr>
        <w:t xml:space="preserve">soriasis </w:t>
      </w:r>
      <w:r w:rsidR="00623083">
        <w:rPr>
          <w:rFonts w:ascii="Arial" w:hAnsi="Arial" w:cs="Arial"/>
          <w:noProof/>
          <w:sz w:val="22"/>
          <w:szCs w:val="22"/>
          <w:lang w:bidi="ta-IN"/>
        </w:rPr>
        <w:t>based on</w:t>
      </w:r>
      <w:r w:rsidR="005D703D" w:rsidRPr="005D703D">
        <w:rPr>
          <w:rFonts w:ascii="Arial" w:hAnsi="Arial" w:cs="Arial"/>
          <w:noProof/>
          <w:sz w:val="22"/>
          <w:szCs w:val="22"/>
          <w:lang w:bidi="ta-IN"/>
        </w:rPr>
        <w:t xml:space="preserve"> cascade ranking and segmentation of the complete regulatory network with biological insight based validation along with the graph centrality principle of betweenness and coefficie</w:t>
      </w:r>
      <w:r w:rsidR="00623083">
        <w:rPr>
          <w:rFonts w:ascii="Arial" w:hAnsi="Arial" w:cs="Arial"/>
          <w:noProof/>
          <w:sz w:val="22"/>
          <w:szCs w:val="22"/>
          <w:lang w:bidi="ta-IN"/>
        </w:rPr>
        <w:t>n</w:t>
      </w:r>
      <w:r w:rsidR="005D703D" w:rsidRPr="005D703D">
        <w:rPr>
          <w:rFonts w:ascii="Arial" w:hAnsi="Arial" w:cs="Arial"/>
          <w:noProof/>
          <w:sz w:val="22"/>
          <w:szCs w:val="22"/>
          <w:lang w:bidi="ta-IN"/>
        </w:rPr>
        <w:t>ts.</w:t>
      </w:r>
      <w:r w:rsidR="00623083">
        <w:rPr>
          <w:rFonts w:ascii="Arial" w:hAnsi="Arial" w:cs="Arial"/>
          <w:noProof/>
          <w:sz w:val="22"/>
          <w:szCs w:val="22"/>
          <w:lang w:bidi="ta-IN"/>
        </w:rPr>
        <w:t xml:space="preserve"> </w:t>
      </w:r>
      <w:r w:rsidR="005D703D" w:rsidRPr="005D703D">
        <w:rPr>
          <w:rFonts w:ascii="Arial" w:hAnsi="Arial" w:cs="Arial"/>
          <w:noProof/>
          <w:sz w:val="22"/>
          <w:szCs w:val="22"/>
          <w:lang w:bidi="ta-IN"/>
        </w:rPr>
        <w:t>The cascade regulators (</w:t>
      </w:r>
      <w:r w:rsidR="005D703D" w:rsidRPr="005D703D">
        <w:rPr>
          <w:rFonts w:ascii="Arial" w:hAnsi="Arial" w:cs="Arial"/>
          <w:b/>
          <w:bCs/>
          <w:noProof/>
          <w:sz w:val="22"/>
          <w:szCs w:val="22"/>
          <w:lang w:bidi="ta-IN"/>
        </w:rPr>
        <w:t>Table.1</w:t>
      </w:r>
      <w:r w:rsidR="005D703D" w:rsidRPr="005D703D">
        <w:rPr>
          <w:rFonts w:ascii="Arial" w:hAnsi="Arial" w:cs="Arial"/>
          <w:noProof/>
          <w:sz w:val="22"/>
          <w:szCs w:val="22"/>
          <w:lang w:bidi="ta-IN"/>
        </w:rPr>
        <w:t>) are listed in the Table.</w:t>
      </w:r>
      <w:r w:rsidR="00623083">
        <w:rPr>
          <w:rFonts w:ascii="Arial" w:hAnsi="Arial" w:cs="Arial"/>
          <w:noProof/>
          <w:sz w:val="22"/>
          <w:szCs w:val="22"/>
          <w:lang w:bidi="ta-IN"/>
        </w:rPr>
        <w:t xml:space="preserve"> </w:t>
      </w:r>
      <w:r w:rsidR="00623083">
        <w:t xml:space="preserve">Among various regulatory patterns, the flux balance analysis of regulatory network for the </w:t>
      </w:r>
      <w:r w:rsidR="00623083">
        <w:lastRenderedPageBreak/>
        <w:t xml:space="preserve">association of Cytokine Chemokine Receptor Pathway, the vital regulators were given in TABLE. I and the cascade of regulatory  pathogenesis in Psoriasis initiated by the (a) SRC-&gt; hsa-miR-20a-&gt; MYOD1 and followed by (b) </w:t>
      </w:r>
      <w:r w:rsidR="00623083">
        <w:rPr>
          <w:rStyle w:val="TableRowName"/>
        </w:rPr>
        <w:t>MAPK3</w:t>
      </w:r>
      <w:r w:rsidR="00623083">
        <w:t xml:space="preserve">-&gt; hsa-miR-106a -&gt; FOS and (c) </w:t>
      </w:r>
      <w:r w:rsidR="00623083">
        <w:rPr>
          <w:rStyle w:val="TableRowName"/>
        </w:rPr>
        <w:t>EIF4E</w:t>
      </w:r>
      <w:r w:rsidR="00623083">
        <w:t xml:space="preserve"> -&gt; hsa-miR-125a -&gt; CCND1. </w:t>
      </w:r>
    </w:p>
    <w:p w:rsidR="005D703D" w:rsidRPr="005D703D" w:rsidRDefault="005D703D" w:rsidP="005D703D">
      <w:pPr>
        <w:pStyle w:val="Subhead-SecondLevel"/>
        <w:spacing w:line="360" w:lineRule="auto"/>
        <w:rPr>
          <w:rFonts w:ascii="Arial" w:hAnsi="Arial" w:cs="Arial"/>
          <w:sz w:val="22"/>
          <w:szCs w:val="22"/>
          <w:u w:val="none"/>
        </w:rPr>
      </w:pPr>
    </w:p>
    <w:p w:rsidR="009F159E" w:rsidRPr="00623083" w:rsidRDefault="00623083" w:rsidP="00623083">
      <w:pPr>
        <w:pStyle w:val="BodyofPaper"/>
        <w:spacing w:line="360" w:lineRule="auto"/>
        <w:ind w:firstLine="0"/>
        <w:rPr>
          <w:rFonts w:ascii="Arial" w:hAnsi="Arial" w:cs="Arial"/>
        </w:rPr>
      </w:pPr>
      <w:r>
        <w:rPr>
          <w:rFonts w:ascii="Arial" w:hAnsi="Arial" w:cs="Arial"/>
          <w:noProof/>
          <w:lang w:eastAsia="en-US" w:bidi="ta-IN"/>
        </w:rPr>
        <w:drawing>
          <wp:inline distT="0" distB="0" distL="0" distR="0">
            <wp:extent cx="5727700" cy="3105150"/>
            <wp:effectExtent l="19050" t="0" r="6350" b="0"/>
            <wp:docPr id="2" name="Picture 1" descr="C:\Users\harishchande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shchandera\Desktop\(1).png"/>
                    <pic:cNvPicPr>
                      <a:picLocks noChangeAspect="1" noChangeArrowheads="1"/>
                    </pic:cNvPicPr>
                  </pic:nvPicPr>
                  <pic:blipFill>
                    <a:blip r:embed="rId7" cstate="print"/>
                    <a:srcRect/>
                    <a:stretch>
                      <a:fillRect/>
                    </a:stretch>
                  </pic:blipFill>
                  <pic:spPr bwMode="auto">
                    <a:xfrm>
                      <a:off x="0" y="0"/>
                      <a:ext cx="5731510" cy="3107216"/>
                    </a:xfrm>
                    <a:prstGeom prst="rect">
                      <a:avLst/>
                    </a:prstGeom>
                    <a:noFill/>
                    <a:ln w="9525">
                      <a:noFill/>
                      <a:miter lim="800000"/>
                      <a:headEnd/>
                      <a:tailEnd/>
                    </a:ln>
                  </pic:spPr>
                </pic:pic>
              </a:graphicData>
            </a:graphic>
          </wp:inline>
        </w:drawing>
      </w:r>
    </w:p>
    <w:p w:rsidR="009F159E" w:rsidRDefault="009F159E" w:rsidP="009F159E">
      <w:pPr>
        <w:jc w:val="both"/>
        <w:rPr>
          <w:rFonts w:ascii="Arial" w:eastAsia="Times New Roman" w:hAnsi="Arial" w:cs="Arial"/>
          <w:color w:val="222222"/>
          <w:lang w:eastAsia="en-IN"/>
        </w:rPr>
      </w:pPr>
      <w:r w:rsidRPr="007C2746">
        <w:rPr>
          <w:rFonts w:ascii="Arial" w:eastAsia="Times New Roman" w:hAnsi="Arial" w:cs="Arial"/>
          <w:b/>
          <w:bCs/>
          <w:color w:val="222222"/>
          <w:sz w:val="20"/>
          <w:szCs w:val="20"/>
          <w:lang w:eastAsia="en-IN"/>
        </w:rPr>
        <w:t>Fig.1.</w:t>
      </w:r>
      <w:r w:rsidRPr="007C2746">
        <w:rPr>
          <w:rFonts w:ascii="Arial" w:eastAsia="Times New Roman" w:hAnsi="Arial" w:cs="Arial"/>
          <w:color w:val="222222"/>
          <w:sz w:val="20"/>
          <w:szCs w:val="20"/>
          <w:lang w:eastAsia="en-IN"/>
        </w:rPr>
        <w:t xml:space="preserve"> </w:t>
      </w:r>
      <w:r w:rsidR="00623083" w:rsidRPr="00623083">
        <w:rPr>
          <w:rFonts w:ascii="Arial" w:eastAsia="Times New Roman" w:hAnsi="Arial" w:cs="Arial"/>
          <w:b/>
          <w:bCs/>
          <w:color w:val="222222"/>
          <w:sz w:val="20"/>
          <w:szCs w:val="20"/>
          <w:lang w:eastAsia="en-IN"/>
        </w:rPr>
        <w:t>Complete Regulatory Network</w:t>
      </w:r>
      <w:r w:rsidR="007C2746" w:rsidRPr="00623083">
        <w:rPr>
          <w:rFonts w:ascii="Arial" w:eastAsia="Times New Roman" w:hAnsi="Arial" w:cs="Arial"/>
          <w:b/>
          <w:bCs/>
          <w:color w:val="222222"/>
          <w:sz w:val="20"/>
          <w:szCs w:val="20"/>
          <w:lang w:eastAsia="en-IN"/>
        </w:rPr>
        <w:t xml:space="preserve">: A. </w:t>
      </w:r>
      <w:r w:rsidR="00623083" w:rsidRPr="00623083">
        <w:rPr>
          <w:rFonts w:ascii="Arial" w:eastAsia="Times New Roman" w:hAnsi="Arial" w:cs="Arial"/>
          <w:b/>
          <w:bCs/>
          <w:color w:val="222222"/>
          <w:sz w:val="20"/>
          <w:szCs w:val="20"/>
          <w:lang w:eastAsia="en-IN"/>
        </w:rPr>
        <w:t>Specific Regulatory Cascade: B</w:t>
      </w:r>
      <w:r w:rsidR="007C2746">
        <w:rPr>
          <w:rFonts w:ascii="Arial" w:eastAsia="Times New Roman" w:hAnsi="Arial" w:cs="Arial"/>
          <w:color w:val="222222"/>
          <w:lang w:eastAsia="en-IN"/>
        </w:rPr>
        <w:t>.</w:t>
      </w:r>
    </w:p>
    <w:p w:rsidR="00623083" w:rsidRDefault="00623083" w:rsidP="009F159E">
      <w:pPr>
        <w:jc w:val="both"/>
        <w:rPr>
          <w:rFonts w:ascii="Arial" w:eastAsia="Times New Roman" w:hAnsi="Arial" w:cs="Arial"/>
          <w:color w:val="222222"/>
          <w:lang w:eastAsia="en-IN"/>
        </w:rPr>
      </w:pPr>
    </w:p>
    <w:p w:rsidR="007C2746" w:rsidRDefault="00623083" w:rsidP="009F159E">
      <w:pPr>
        <w:jc w:val="both"/>
        <w:rPr>
          <w:rFonts w:ascii="Arial" w:eastAsia="Times New Roman" w:hAnsi="Arial" w:cs="Arial"/>
          <w:color w:val="222222"/>
          <w:lang w:eastAsia="en-IN"/>
        </w:rPr>
      </w:pPr>
      <w:r>
        <w:rPr>
          <w:rFonts w:ascii="Arial" w:eastAsia="Times New Roman" w:hAnsi="Arial" w:cs="Arial"/>
          <w:color w:val="222222"/>
          <w:lang w:eastAsia="en-IN"/>
        </w:rPr>
        <w:t>After Performing the analysis of the process in Pathogenesis from basic biological processing of cellular functions concerning the transition of metabolites in components of Cellular signaling and biochemical pathways, specific markers in the regulatory cascade can be taken for further experimental studies. The regulatory cascade is initiated by the gene SRC.</w:t>
      </w:r>
    </w:p>
    <w:p w:rsidR="007C2746" w:rsidRDefault="007C2746" w:rsidP="009F159E">
      <w:pPr>
        <w:jc w:val="both"/>
        <w:rPr>
          <w:rFonts w:ascii="Arial" w:eastAsia="Times New Roman" w:hAnsi="Arial" w:cs="Arial"/>
          <w:color w:val="222222"/>
          <w:lang w:eastAsia="en-IN"/>
        </w:rPr>
      </w:pPr>
      <w:r>
        <w:rPr>
          <w:rFonts w:ascii="Arial" w:eastAsia="Times New Roman" w:hAnsi="Arial" w:cs="Arial"/>
          <w:color w:val="222222"/>
          <w:lang w:eastAsia="en-IN"/>
        </w:rPr>
        <w:t>Table 1.</w:t>
      </w:r>
      <w:r w:rsidR="00623083">
        <w:rPr>
          <w:rFonts w:ascii="Arial" w:eastAsia="Times New Roman" w:hAnsi="Arial" w:cs="Arial"/>
          <w:color w:val="222222"/>
          <w:lang w:eastAsia="en-IN"/>
        </w:rPr>
        <w:t xml:space="preserve"> Vital Gene, Regulator and Cascade</w:t>
      </w:r>
    </w:p>
    <w:tbl>
      <w:tblPr>
        <w:tblStyle w:val="PlainTable2"/>
        <w:tblW w:w="0" w:type="auto"/>
        <w:tblLook w:val="04A0"/>
      </w:tblPr>
      <w:tblGrid>
        <w:gridCol w:w="2254"/>
        <w:gridCol w:w="2254"/>
        <w:gridCol w:w="2254"/>
        <w:gridCol w:w="2254"/>
      </w:tblGrid>
      <w:tr w:rsidR="007C2746" w:rsidTr="005C28DB">
        <w:trPr>
          <w:cnfStyle w:val="100000000000"/>
        </w:trPr>
        <w:tc>
          <w:tcPr>
            <w:cnfStyle w:val="001000000000"/>
            <w:tcW w:w="2254" w:type="dxa"/>
          </w:tcPr>
          <w:p w:rsidR="007C2746" w:rsidRDefault="005D703D" w:rsidP="009F159E">
            <w:pPr>
              <w:jc w:val="both"/>
              <w:rPr>
                <w:rFonts w:ascii="Arial" w:eastAsia="Times New Roman" w:hAnsi="Arial" w:cs="Arial"/>
                <w:color w:val="222222"/>
                <w:lang w:eastAsia="en-IN"/>
              </w:rPr>
            </w:pPr>
            <w:r>
              <w:rPr>
                <w:rFonts w:ascii="Arial" w:eastAsia="Times New Roman" w:hAnsi="Arial" w:cs="Arial"/>
                <w:color w:val="222222"/>
                <w:lang w:eastAsia="en-IN"/>
              </w:rPr>
              <w:t>Gene</w:t>
            </w:r>
          </w:p>
        </w:tc>
        <w:tc>
          <w:tcPr>
            <w:tcW w:w="2254" w:type="dxa"/>
          </w:tcPr>
          <w:p w:rsidR="007C2746" w:rsidRDefault="005D703D" w:rsidP="009F159E">
            <w:pPr>
              <w:jc w:val="both"/>
              <w:cnfStyle w:val="100000000000"/>
              <w:rPr>
                <w:rFonts w:ascii="Arial" w:eastAsia="Times New Roman" w:hAnsi="Arial" w:cs="Arial"/>
                <w:color w:val="222222"/>
                <w:lang w:eastAsia="en-IN"/>
              </w:rPr>
            </w:pPr>
            <w:r>
              <w:rPr>
                <w:rFonts w:ascii="Arial" w:eastAsia="Times New Roman" w:hAnsi="Arial" w:cs="Arial"/>
                <w:color w:val="222222"/>
                <w:lang w:eastAsia="en-IN"/>
              </w:rPr>
              <w:t>Micro-RNA</w:t>
            </w:r>
          </w:p>
        </w:tc>
        <w:tc>
          <w:tcPr>
            <w:tcW w:w="2254" w:type="dxa"/>
          </w:tcPr>
          <w:p w:rsidR="005D703D" w:rsidRDefault="005D703D" w:rsidP="009F159E">
            <w:pPr>
              <w:jc w:val="both"/>
              <w:cnfStyle w:val="100000000000"/>
              <w:rPr>
                <w:rFonts w:ascii="Arial" w:eastAsia="Times New Roman" w:hAnsi="Arial" w:cs="Arial"/>
                <w:color w:val="222222"/>
                <w:lang w:eastAsia="en-IN"/>
              </w:rPr>
            </w:pPr>
            <w:r>
              <w:rPr>
                <w:rFonts w:ascii="Arial" w:eastAsia="Times New Roman" w:hAnsi="Arial" w:cs="Arial"/>
                <w:color w:val="222222"/>
                <w:lang w:eastAsia="en-IN"/>
              </w:rPr>
              <w:t xml:space="preserve"> Transcription   </w:t>
            </w:r>
          </w:p>
          <w:p w:rsidR="007C2746" w:rsidRDefault="005D703D" w:rsidP="005D703D">
            <w:pPr>
              <w:cnfStyle w:val="100000000000"/>
              <w:rPr>
                <w:rFonts w:ascii="Arial" w:eastAsia="Times New Roman" w:hAnsi="Arial" w:cs="Arial"/>
                <w:color w:val="222222"/>
                <w:lang w:eastAsia="en-IN"/>
              </w:rPr>
            </w:pPr>
            <w:r>
              <w:rPr>
                <w:rFonts w:ascii="Arial" w:eastAsia="Times New Roman" w:hAnsi="Arial" w:cs="Arial"/>
                <w:color w:val="222222"/>
                <w:lang w:eastAsia="en-IN"/>
              </w:rPr>
              <w:t xml:space="preserve">      Factor</w:t>
            </w:r>
          </w:p>
        </w:tc>
        <w:tc>
          <w:tcPr>
            <w:tcW w:w="2254" w:type="dxa"/>
          </w:tcPr>
          <w:p w:rsidR="007C2746" w:rsidRDefault="005D703D" w:rsidP="005D703D">
            <w:pPr>
              <w:jc w:val="center"/>
              <w:cnfStyle w:val="100000000000"/>
              <w:rPr>
                <w:rFonts w:ascii="Arial" w:eastAsia="Times New Roman" w:hAnsi="Arial" w:cs="Arial"/>
                <w:color w:val="222222"/>
                <w:lang w:eastAsia="en-IN"/>
              </w:rPr>
            </w:pPr>
            <w:r>
              <w:rPr>
                <w:rFonts w:ascii="Arial" w:eastAsia="Times New Roman" w:hAnsi="Arial" w:cs="Arial"/>
                <w:color w:val="222222"/>
                <w:lang w:eastAsia="en-IN"/>
              </w:rPr>
              <w:t>Regulatory Cascade</w:t>
            </w:r>
          </w:p>
        </w:tc>
      </w:tr>
      <w:tr w:rsidR="007C2746" w:rsidTr="005C28DB">
        <w:trPr>
          <w:cnfStyle w:val="000000100000"/>
        </w:trPr>
        <w:tc>
          <w:tcPr>
            <w:cnfStyle w:val="001000000000"/>
            <w:tcW w:w="2254" w:type="dxa"/>
          </w:tcPr>
          <w:p w:rsidR="007C2746" w:rsidRDefault="00623083" w:rsidP="009F159E">
            <w:pPr>
              <w:jc w:val="both"/>
              <w:rPr>
                <w:rFonts w:ascii="Arial" w:eastAsia="Times New Roman" w:hAnsi="Arial" w:cs="Arial"/>
                <w:color w:val="222222"/>
                <w:lang w:eastAsia="en-IN"/>
              </w:rPr>
            </w:pPr>
            <w:r>
              <w:rPr>
                <w:rFonts w:ascii="Arial" w:eastAsia="Times New Roman" w:hAnsi="Arial" w:cs="Arial"/>
                <w:color w:val="222222"/>
                <w:lang w:eastAsia="en-IN"/>
              </w:rPr>
              <w:t>SRC</w:t>
            </w:r>
          </w:p>
        </w:tc>
        <w:tc>
          <w:tcPr>
            <w:tcW w:w="2254" w:type="dxa"/>
          </w:tcPr>
          <w:p w:rsidR="007C2746" w:rsidRDefault="00623083" w:rsidP="009F159E">
            <w:pPr>
              <w:jc w:val="both"/>
              <w:cnfStyle w:val="000000100000"/>
              <w:rPr>
                <w:rFonts w:ascii="Arial" w:eastAsia="Times New Roman" w:hAnsi="Arial" w:cs="Arial"/>
                <w:color w:val="222222"/>
                <w:lang w:eastAsia="en-IN"/>
              </w:rPr>
            </w:pPr>
            <w:r>
              <w:t>hsa-miR-20a</w:t>
            </w:r>
          </w:p>
        </w:tc>
        <w:tc>
          <w:tcPr>
            <w:tcW w:w="2254" w:type="dxa"/>
          </w:tcPr>
          <w:p w:rsidR="007C2746" w:rsidRDefault="00623083" w:rsidP="00623083">
            <w:pPr>
              <w:jc w:val="center"/>
              <w:cnfStyle w:val="000000100000"/>
              <w:rPr>
                <w:rFonts w:ascii="Arial" w:eastAsia="Times New Roman" w:hAnsi="Arial" w:cs="Arial"/>
                <w:color w:val="222222"/>
                <w:lang w:eastAsia="en-IN"/>
              </w:rPr>
            </w:pPr>
            <w:r>
              <w:rPr>
                <w:rFonts w:ascii="Arial" w:eastAsia="Times New Roman" w:hAnsi="Arial" w:cs="Arial"/>
                <w:color w:val="222222"/>
                <w:lang w:eastAsia="en-IN"/>
              </w:rPr>
              <w:t>MYOD1</w:t>
            </w:r>
          </w:p>
        </w:tc>
        <w:tc>
          <w:tcPr>
            <w:tcW w:w="2254" w:type="dxa"/>
          </w:tcPr>
          <w:p w:rsidR="00623083" w:rsidRPr="00623083" w:rsidRDefault="00623083" w:rsidP="00623083">
            <w:pPr>
              <w:jc w:val="both"/>
              <w:cnfStyle w:val="000000100000"/>
            </w:pPr>
            <w:r>
              <w:t>SRC-&gt; hsa-miR-20a-&gt; MYOD1</w:t>
            </w:r>
          </w:p>
        </w:tc>
      </w:tr>
    </w:tbl>
    <w:p w:rsidR="007C2746" w:rsidRPr="009F159E" w:rsidRDefault="007C2746" w:rsidP="009F159E">
      <w:pPr>
        <w:jc w:val="both"/>
        <w:rPr>
          <w:rFonts w:ascii="Arial" w:eastAsia="Times New Roman" w:hAnsi="Arial" w:cs="Arial"/>
          <w:color w:val="222222"/>
          <w:lang w:eastAsia="en-IN"/>
        </w:rPr>
      </w:pPr>
    </w:p>
    <w:p w:rsidR="00623083" w:rsidRDefault="00623083" w:rsidP="009F159E">
      <w:pPr>
        <w:jc w:val="both"/>
        <w:rPr>
          <w:rFonts w:ascii="Arial" w:eastAsia="Times New Roman" w:hAnsi="Arial" w:cs="Arial"/>
          <w:b/>
          <w:bCs/>
          <w:color w:val="222222"/>
          <w:sz w:val="20"/>
          <w:szCs w:val="20"/>
          <w:lang w:eastAsia="en-IN"/>
        </w:rPr>
      </w:pPr>
    </w:p>
    <w:p w:rsidR="009F159E" w:rsidRDefault="009F159E" w:rsidP="009F159E">
      <w:pPr>
        <w:jc w:val="both"/>
        <w:rPr>
          <w:rFonts w:ascii="Arial" w:eastAsia="Times New Roman" w:hAnsi="Arial" w:cs="Arial"/>
          <w:b/>
          <w:bCs/>
          <w:color w:val="222222"/>
          <w:sz w:val="20"/>
          <w:szCs w:val="20"/>
          <w:lang w:eastAsia="en-IN"/>
        </w:rPr>
      </w:pPr>
      <w:r w:rsidRPr="009F159E">
        <w:rPr>
          <w:rFonts w:ascii="Arial" w:eastAsia="Times New Roman" w:hAnsi="Arial" w:cs="Arial"/>
          <w:b/>
          <w:bCs/>
          <w:color w:val="222222"/>
          <w:sz w:val="20"/>
          <w:szCs w:val="20"/>
          <w:lang w:eastAsia="en-IN"/>
        </w:rPr>
        <w:t>References</w:t>
      </w:r>
    </w:p>
    <w:p w:rsidR="00B50E7E" w:rsidRPr="00623083" w:rsidRDefault="00623083" w:rsidP="007C2746">
      <w:pPr>
        <w:spacing w:after="0"/>
        <w:jc w:val="both"/>
        <w:rPr>
          <w:rFonts w:ascii="Arial" w:hAnsi="Arial" w:cs="Arial"/>
          <w:color w:val="333333"/>
          <w:sz w:val="20"/>
          <w:szCs w:val="20"/>
          <w:shd w:val="clear" w:color="auto" w:fill="FCFCFC"/>
        </w:rPr>
      </w:pPr>
      <w:r>
        <w:rPr>
          <w:rFonts w:ascii="Arial" w:eastAsia="Times New Roman" w:hAnsi="Arial" w:cs="Arial"/>
          <w:color w:val="222222"/>
          <w:sz w:val="20"/>
          <w:szCs w:val="20"/>
          <w:lang w:eastAsia="en-IN"/>
        </w:rPr>
        <w:t xml:space="preserve"> </w:t>
      </w:r>
      <w:r w:rsidR="007C2746" w:rsidRPr="007C2746">
        <w:rPr>
          <w:rFonts w:ascii="Arial" w:eastAsia="Times New Roman" w:hAnsi="Arial" w:cs="Arial"/>
          <w:color w:val="222222"/>
          <w:sz w:val="20"/>
          <w:szCs w:val="20"/>
          <w:lang w:eastAsia="en-IN"/>
        </w:rPr>
        <w:t xml:space="preserve">[1] </w:t>
      </w:r>
      <w:r w:rsidRPr="00623083">
        <w:rPr>
          <w:rFonts w:ascii="Arial" w:hAnsi="Arial" w:cs="Arial"/>
          <w:sz w:val="20"/>
          <w:szCs w:val="20"/>
        </w:rPr>
        <w:t xml:space="preserve">C. Aditi and S. Swapan, </w:t>
      </w:r>
      <w:r w:rsidRPr="00623083">
        <w:rPr>
          <w:rFonts w:ascii="Arial" w:hAnsi="Arial" w:cs="Arial"/>
          <w:i/>
          <w:sz w:val="20"/>
          <w:szCs w:val="20"/>
        </w:rPr>
        <w:t>Clin. Epi.</w:t>
      </w:r>
      <w:r w:rsidRPr="00623083">
        <w:rPr>
          <w:rFonts w:ascii="Arial" w:hAnsi="Arial" w:cs="Arial"/>
          <w:sz w:val="20"/>
          <w:szCs w:val="20"/>
        </w:rPr>
        <w:t xml:space="preserve">, </w:t>
      </w:r>
      <w:r w:rsidRPr="00623083">
        <w:rPr>
          <w:rFonts w:ascii="Arial" w:hAnsi="Arial" w:cs="Arial"/>
          <w:b/>
          <w:sz w:val="20"/>
          <w:szCs w:val="20"/>
        </w:rPr>
        <w:t>10</w:t>
      </w:r>
      <w:r w:rsidRPr="00623083">
        <w:rPr>
          <w:rFonts w:ascii="Arial" w:hAnsi="Arial" w:cs="Arial"/>
          <w:sz w:val="20"/>
          <w:szCs w:val="20"/>
        </w:rPr>
        <w:t>, P108 (2018)</w:t>
      </w:r>
    </w:p>
    <w:p w:rsidR="007C2746" w:rsidRPr="00623083" w:rsidRDefault="00623083" w:rsidP="007C2746">
      <w:pPr>
        <w:spacing w:after="0"/>
        <w:jc w:val="both"/>
        <w:rPr>
          <w:rFonts w:ascii="Arial" w:eastAsia="Times New Roman" w:hAnsi="Arial" w:cs="Arial"/>
          <w:color w:val="222222"/>
          <w:sz w:val="20"/>
          <w:szCs w:val="20"/>
          <w:lang w:eastAsia="en-IN"/>
        </w:rPr>
      </w:pPr>
      <w:r w:rsidRPr="007C2746">
        <w:rPr>
          <w:rFonts w:ascii="Arial" w:eastAsia="Times New Roman" w:hAnsi="Arial" w:cs="Arial"/>
          <w:color w:val="222222"/>
          <w:sz w:val="20"/>
          <w:szCs w:val="20"/>
          <w:lang w:eastAsia="en-IN"/>
        </w:rPr>
        <w:t xml:space="preserve"> </w:t>
      </w:r>
      <w:r w:rsidR="007C2746" w:rsidRPr="007C2746">
        <w:rPr>
          <w:rFonts w:ascii="Arial" w:eastAsia="Times New Roman" w:hAnsi="Arial" w:cs="Arial"/>
          <w:color w:val="222222"/>
          <w:sz w:val="20"/>
          <w:szCs w:val="20"/>
          <w:lang w:eastAsia="en-IN"/>
        </w:rPr>
        <w:t xml:space="preserve">[2] </w:t>
      </w:r>
      <w:r w:rsidRPr="00623083">
        <w:rPr>
          <w:rFonts w:ascii="Arial" w:hAnsi="Arial" w:cs="Arial"/>
          <w:sz w:val="20"/>
          <w:szCs w:val="20"/>
        </w:rPr>
        <w:t xml:space="preserve">V. Agar, </w:t>
      </w:r>
      <w:r w:rsidRPr="00623083">
        <w:rPr>
          <w:rFonts w:ascii="Arial" w:hAnsi="Arial" w:cs="Arial"/>
          <w:i/>
          <w:sz w:val="20"/>
          <w:szCs w:val="20"/>
        </w:rPr>
        <w:t xml:space="preserve"> eLi.Mol. Bio.</w:t>
      </w:r>
      <w:r w:rsidRPr="00623083">
        <w:rPr>
          <w:rFonts w:ascii="Arial" w:hAnsi="Arial" w:cs="Arial"/>
          <w:sz w:val="20"/>
          <w:szCs w:val="20"/>
        </w:rPr>
        <w:t xml:space="preserve">, </w:t>
      </w:r>
      <w:r w:rsidRPr="00623083">
        <w:rPr>
          <w:rFonts w:ascii="Arial" w:hAnsi="Arial" w:cs="Arial"/>
          <w:b/>
          <w:sz w:val="20"/>
          <w:szCs w:val="20"/>
        </w:rPr>
        <w:t>4</w:t>
      </w:r>
      <w:r w:rsidRPr="00623083">
        <w:rPr>
          <w:rFonts w:ascii="Arial" w:hAnsi="Arial" w:cs="Arial"/>
          <w:sz w:val="20"/>
          <w:szCs w:val="20"/>
        </w:rPr>
        <w:t>, E05 (2015)</w:t>
      </w:r>
      <w:r w:rsidR="007C2746" w:rsidRPr="00623083">
        <w:rPr>
          <w:rFonts w:ascii="Arial" w:eastAsia="Times New Roman" w:hAnsi="Arial" w:cs="Arial"/>
          <w:color w:val="222222"/>
          <w:sz w:val="20"/>
          <w:szCs w:val="20"/>
          <w:lang w:eastAsia="en-IN"/>
        </w:rPr>
        <w:t>.</w:t>
      </w:r>
    </w:p>
    <w:p w:rsidR="009F159E" w:rsidRPr="00623083" w:rsidRDefault="00623083" w:rsidP="00623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Arial" w:hAnsi="Arial" w:cs="Arial"/>
          <w:sz w:val="20"/>
          <w:szCs w:val="20"/>
        </w:rPr>
      </w:pPr>
      <w:r w:rsidRPr="007C2746">
        <w:rPr>
          <w:rFonts w:ascii="Arial" w:eastAsia="Times New Roman" w:hAnsi="Arial" w:cs="Arial"/>
          <w:color w:val="222222"/>
          <w:sz w:val="20"/>
          <w:szCs w:val="20"/>
          <w:lang w:eastAsia="en-IN"/>
        </w:rPr>
        <w:t xml:space="preserve"> </w:t>
      </w:r>
      <w:r w:rsidR="007C2746" w:rsidRPr="007C2746">
        <w:rPr>
          <w:rFonts w:ascii="Arial" w:eastAsia="Times New Roman" w:hAnsi="Arial" w:cs="Arial"/>
          <w:color w:val="222222"/>
          <w:sz w:val="20"/>
          <w:szCs w:val="20"/>
          <w:lang w:eastAsia="en-IN"/>
        </w:rPr>
        <w:t>[3</w:t>
      </w:r>
      <w:r w:rsidR="00C77B93">
        <w:rPr>
          <w:rFonts w:ascii="Arial" w:eastAsia="Times New Roman" w:hAnsi="Arial" w:cs="Arial"/>
          <w:color w:val="222222"/>
          <w:sz w:val="20"/>
          <w:szCs w:val="20"/>
          <w:lang w:eastAsia="en-IN"/>
        </w:rPr>
        <w:t>]</w:t>
      </w:r>
      <w:r>
        <w:rPr>
          <w:rFonts w:ascii="Arial" w:eastAsia="Times New Roman" w:hAnsi="Arial" w:cs="Arial"/>
          <w:color w:val="222222"/>
          <w:sz w:val="20"/>
          <w:szCs w:val="20"/>
          <w:lang w:eastAsia="en-IN"/>
        </w:rPr>
        <w:t xml:space="preserve"> </w:t>
      </w:r>
      <w:r w:rsidRPr="00623083">
        <w:rPr>
          <w:rFonts w:ascii="Arial" w:hAnsi="Arial" w:cs="Arial"/>
          <w:sz w:val="20"/>
          <w:szCs w:val="20"/>
        </w:rPr>
        <w:t xml:space="preserve">J. Alexander and C. Jan, </w:t>
      </w:r>
      <w:r w:rsidRPr="00623083">
        <w:rPr>
          <w:rFonts w:ascii="Arial" w:hAnsi="Arial" w:cs="Arial"/>
          <w:i/>
          <w:iCs/>
          <w:sz w:val="20"/>
          <w:szCs w:val="20"/>
        </w:rPr>
        <w:t>Oxf. Dat. Bas.</w:t>
      </w:r>
      <w:r w:rsidRPr="00623083">
        <w:rPr>
          <w:rFonts w:ascii="Arial" w:hAnsi="Arial" w:cs="Arial"/>
          <w:sz w:val="20"/>
          <w:szCs w:val="20"/>
        </w:rPr>
        <w:t xml:space="preserve">, </w:t>
      </w:r>
      <w:r w:rsidRPr="00623083">
        <w:rPr>
          <w:rFonts w:ascii="Arial" w:hAnsi="Arial" w:cs="Arial"/>
          <w:b/>
          <w:bCs/>
          <w:sz w:val="20"/>
          <w:szCs w:val="20"/>
        </w:rPr>
        <w:t>2</w:t>
      </w:r>
      <w:r w:rsidRPr="00623083">
        <w:rPr>
          <w:rFonts w:ascii="Arial" w:hAnsi="Arial" w:cs="Arial"/>
          <w:sz w:val="20"/>
          <w:szCs w:val="20"/>
        </w:rPr>
        <w:t>(1), 6 (2017).</w:t>
      </w:r>
    </w:p>
    <w:p w:rsidR="00623083" w:rsidRPr="00623083" w:rsidRDefault="00623083" w:rsidP="00623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pPr>
      <w:r>
        <w:rPr>
          <w:rFonts w:ascii="Arial" w:eastAsia="Times New Roman" w:hAnsi="Arial" w:cs="Arial"/>
          <w:color w:val="222222"/>
          <w:sz w:val="20"/>
          <w:szCs w:val="20"/>
          <w:lang w:eastAsia="en-IN"/>
        </w:rPr>
        <w:t xml:space="preserve"> </w:t>
      </w:r>
      <w:r w:rsidR="009929D7">
        <w:rPr>
          <w:rFonts w:ascii="Arial" w:eastAsia="Times New Roman" w:hAnsi="Arial" w:cs="Arial"/>
          <w:color w:val="222222"/>
          <w:sz w:val="20"/>
          <w:szCs w:val="20"/>
          <w:lang w:eastAsia="en-IN"/>
        </w:rPr>
        <w:t>[4]</w:t>
      </w:r>
      <w:r>
        <w:rPr>
          <w:rFonts w:ascii="Arial" w:eastAsia="Times New Roman" w:hAnsi="Arial" w:cs="Arial"/>
          <w:color w:val="222222"/>
          <w:sz w:val="20"/>
          <w:szCs w:val="20"/>
          <w:lang w:eastAsia="en-IN"/>
        </w:rPr>
        <w:t xml:space="preserve"> </w:t>
      </w:r>
      <w:r>
        <w:t xml:space="preserve">J. Alameda, </w:t>
      </w:r>
      <w:r w:rsidRPr="001C451F">
        <w:rPr>
          <w:i/>
          <w:iCs/>
        </w:rPr>
        <w:t>Ce. Dea. Dis.</w:t>
      </w:r>
      <w:r w:rsidRPr="001C451F">
        <w:t>,</w:t>
      </w:r>
      <w:r>
        <w:t xml:space="preserve"> </w:t>
      </w:r>
      <w:r w:rsidRPr="001C451F">
        <w:rPr>
          <w:b/>
          <w:bCs/>
        </w:rPr>
        <w:t>2</w:t>
      </w:r>
      <w:r w:rsidRPr="001C451F">
        <w:t>,</w:t>
      </w:r>
      <w:r>
        <w:t xml:space="preserve"> E208 (2011)</w:t>
      </w:r>
    </w:p>
    <w:p w:rsidR="00B50E7E" w:rsidRPr="006E6C53" w:rsidRDefault="009929D7" w:rsidP="00B50E7E">
      <w:pPr>
        <w:spacing w:after="0"/>
        <w:jc w:val="both"/>
        <w:rPr>
          <w:rFonts w:ascii="Arial" w:eastAsia="Times New Roman" w:hAnsi="Arial" w:cs="Arial"/>
          <w:color w:val="222222"/>
          <w:sz w:val="20"/>
          <w:szCs w:val="20"/>
          <w:lang w:eastAsia="en-IN"/>
        </w:rPr>
      </w:pPr>
      <w:r>
        <w:rPr>
          <w:rFonts w:ascii="Arial" w:eastAsia="Times New Roman" w:hAnsi="Arial" w:cs="Arial"/>
          <w:color w:val="222222"/>
          <w:sz w:val="20"/>
          <w:szCs w:val="20"/>
          <w:lang w:eastAsia="en-IN"/>
        </w:rPr>
        <w:t xml:space="preserve"> </w:t>
      </w:r>
    </w:p>
    <w:sectPr w:rsidR="00B50E7E" w:rsidRPr="006E6C53" w:rsidSect="00AE3C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461" w:rsidRDefault="001E0461" w:rsidP="009F159E">
      <w:pPr>
        <w:spacing w:after="0" w:line="240" w:lineRule="auto"/>
      </w:pPr>
      <w:r>
        <w:separator/>
      </w:r>
    </w:p>
  </w:endnote>
  <w:endnote w:type="continuationSeparator" w:id="0">
    <w:p w:rsidR="001E0461" w:rsidRDefault="001E0461" w:rsidP="009F1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83" w:rsidRDefault="00623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83" w:rsidRDefault="006230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83" w:rsidRDefault="00623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461" w:rsidRDefault="001E0461" w:rsidP="009F159E">
      <w:pPr>
        <w:spacing w:after="0" w:line="240" w:lineRule="auto"/>
      </w:pPr>
      <w:r>
        <w:separator/>
      </w:r>
    </w:p>
  </w:footnote>
  <w:footnote w:type="continuationSeparator" w:id="0">
    <w:p w:rsidR="001E0461" w:rsidRDefault="001E0461" w:rsidP="009F1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83" w:rsidRDefault="006230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C" w:rsidRPr="00E57C1F" w:rsidRDefault="0063739C">
    <w:pPr>
      <w:pStyle w:val="Header"/>
      <w:rPr>
        <w:rFonts w:ascii="Segoe UI" w:hAnsi="Segoe UI" w:cs="Segoe UI"/>
      </w:rPr>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sz w:val="20"/>
        <w:szCs w:val="20"/>
      </w:rPr>
      <w:t xml:space="preserve">Author Name(s), </w:t>
    </w:r>
    <w:r w:rsidRPr="00E57C1F">
      <w:rPr>
        <w:rFonts w:ascii="Segoe UI" w:hAnsi="Segoe UI" w:cs="Segoe UI"/>
        <w:sz w:val="20"/>
        <w:szCs w:val="20"/>
      </w:rPr>
      <w:t>IGCSTS-1,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83" w:rsidRDefault="00623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4A1"/>
    <w:multiLevelType w:val="hybridMultilevel"/>
    <w:tmpl w:val="333294F2"/>
    <w:lvl w:ilvl="0" w:tplc="71FA22EC">
      <w:start w:val="1"/>
      <w:numFmt w:val="decimal"/>
      <w:lvlText w:val="%1."/>
      <w:lvlJc w:val="left"/>
      <w:pPr>
        <w:tabs>
          <w:tab w:val="num" w:pos="720"/>
        </w:tabs>
        <w:ind w:left="720" w:hanging="360"/>
      </w:pPr>
      <w:rPr>
        <w:rFonts w:cs="Times New Roman"/>
      </w:rPr>
    </w:lvl>
    <w:lvl w:ilvl="1" w:tplc="92D2061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4112650"/>
    <w:multiLevelType w:val="hybridMultilevel"/>
    <w:tmpl w:val="C682FB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S1tDQytbSwsDQzNzZT0lEKTi0uzszPAykwqgUAcCvt+CwAAAA="/>
  </w:docVars>
  <w:rsids>
    <w:rsidRoot w:val="009F159E"/>
    <w:rsid w:val="00083F67"/>
    <w:rsid w:val="001E0461"/>
    <w:rsid w:val="002D23BC"/>
    <w:rsid w:val="0045526B"/>
    <w:rsid w:val="005B3640"/>
    <w:rsid w:val="005C28DB"/>
    <w:rsid w:val="005D703D"/>
    <w:rsid w:val="00623083"/>
    <w:rsid w:val="0063739C"/>
    <w:rsid w:val="006E6C53"/>
    <w:rsid w:val="0077189B"/>
    <w:rsid w:val="007C2746"/>
    <w:rsid w:val="009929D7"/>
    <w:rsid w:val="009F159E"/>
    <w:rsid w:val="00A54DA1"/>
    <w:rsid w:val="00AE3CAF"/>
    <w:rsid w:val="00B50E7E"/>
    <w:rsid w:val="00C77B93"/>
    <w:rsid w:val="00D64183"/>
    <w:rsid w:val="00D95740"/>
    <w:rsid w:val="00E57C1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9E"/>
  </w:style>
  <w:style w:type="paragraph" w:styleId="ListParagraph">
    <w:name w:val="List Paragraph"/>
    <w:basedOn w:val="Normal"/>
    <w:uiPriority w:val="34"/>
    <w:qFormat/>
    <w:rsid w:val="009F159E"/>
    <w:pPr>
      <w:ind w:left="720"/>
      <w:contextualSpacing/>
    </w:pPr>
  </w:style>
  <w:style w:type="table" w:styleId="TableGrid">
    <w:name w:val="Table Grid"/>
    <w:basedOn w:val="TableNormal"/>
    <w:uiPriority w:val="39"/>
    <w:rsid w:val="007C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7C27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
    <w:name w:val="Grid Table 5 Dark Accent 3"/>
    <w:basedOn w:val="TableNormal"/>
    <w:uiPriority w:val="50"/>
    <w:rsid w:val="007C274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7C2746"/>
    <w:rPr>
      <w:color w:val="0000FF"/>
      <w:u w:val="single"/>
    </w:rPr>
  </w:style>
  <w:style w:type="character" w:customStyle="1" w:styleId="UnresolvedMention">
    <w:name w:val="Unresolved Mention"/>
    <w:basedOn w:val="DefaultParagraphFont"/>
    <w:uiPriority w:val="99"/>
    <w:semiHidden/>
    <w:unhideWhenUsed/>
    <w:rsid w:val="00B50E7E"/>
    <w:rPr>
      <w:color w:val="605E5C"/>
      <w:shd w:val="clear" w:color="auto" w:fill="E1DFDD"/>
    </w:rPr>
  </w:style>
  <w:style w:type="table" w:customStyle="1" w:styleId="PlainTable2">
    <w:name w:val="Plain Table 2"/>
    <w:basedOn w:val="TableNormal"/>
    <w:uiPriority w:val="42"/>
    <w:rsid w:val="005C28D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24kjd">
    <w:name w:val="e24kjd"/>
    <w:basedOn w:val="DefaultParagraphFont"/>
    <w:rsid w:val="0063739C"/>
  </w:style>
  <w:style w:type="paragraph" w:customStyle="1" w:styleId="BodyofPaper">
    <w:name w:val="Body of Paper"/>
    <w:basedOn w:val="Normal"/>
    <w:link w:val="BodyofPaperChar"/>
    <w:uiPriority w:val="99"/>
    <w:rsid w:val="005D703D"/>
    <w:pPr>
      <w:spacing w:after="0" w:line="240" w:lineRule="auto"/>
      <w:ind w:firstLine="360"/>
      <w:jc w:val="both"/>
    </w:pPr>
    <w:rPr>
      <w:rFonts w:ascii="Times New Roman" w:eastAsia="MS Mincho" w:hAnsi="Times New Roman" w:cs="Times New Roman"/>
      <w:sz w:val="24"/>
      <w:szCs w:val="24"/>
      <w:lang w:val="en-US" w:eastAsia="ja-JP"/>
    </w:rPr>
  </w:style>
  <w:style w:type="character" w:customStyle="1" w:styleId="BodyofPaperChar">
    <w:name w:val="Body of Paper Char"/>
    <w:basedOn w:val="DefaultParagraphFont"/>
    <w:link w:val="BodyofPaper"/>
    <w:uiPriority w:val="99"/>
    <w:locked/>
    <w:rsid w:val="005D703D"/>
    <w:rPr>
      <w:rFonts w:ascii="Times New Roman" w:eastAsia="MS Mincho" w:hAnsi="Times New Roman" w:cs="Times New Roman"/>
      <w:sz w:val="24"/>
      <w:szCs w:val="24"/>
      <w:lang w:val="en-US" w:eastAsia="ja-JP"/>
    </w:rPr>
  </w:style>
  <w:style w:type="paragraph" w:customStyle="1" w:styleId="Subhead-SecondLevel">
    <w:name w:val="Subhead - Second Level"/>
    <w:basedOn w:val="BodyofPaper"/>
    <w:link w:val="Subhead-SecondLevelChar"/>
    <w:uiPriority w:val="99"/>
    <w:rsid w:val="005D703D"/>
    <w:pPr>
      <w:ind w:firstLine="0"/>
    </w:pPr>
    <w:rPr>
      <w:u w:val="single"/>
    </w:rPr>
  </w:style>
  <w:style w:type="character" w:customStyle="1" w:styleId="Subhead-SecondLevelChar">
    <w:name w:val="Subhead - Second Level Char"/>
    <w:basedOn w:val="BodyofPaperChar"/>
    <w:link w:val="Subhead-SecondLevel"/>
    <w:uiPriority w:val="99"/>
    <w:locked/>
    <w:rsid w:val="005D703D"/>
    <w:rPr>
      <w:u w:val="single"/>
    </w:rPr>
  </w:style>
  <w:style w:type="character" w:customStyle="1" w:styleId="TableRowName">
    <w:name w:val="Table/Row Name"/>
    <w:basedOn w:val="DefaultParagraphFont"/>
    <w:uiPriority w:val="99"/>
    <w:rsid w:val="00623083"/>
    <w:rPr>
      <w:rFonts w:ascii="Times New Roman" w:hAnsi="Times New Roman" w:cs="Times New Roman"/>
      <w:sz w:val="20"/>
    </w:rPr>
  </w:style>
  <w:style w:type="paragraph" w:styleId="BalloonText">
    <w:name w:val="Balloon Text"/>
    <w:basedOn w:val="Normal"/>
    <w:link w:val="BalloonTextChar"/>
    <w:uiPriority w:val="99"/>
    <w:semiHidden/>
    <w:unhideWhenUsed/>
    <w:rsid w:val="0062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71881">
      <w:bodyDiv w:val="1"/>
      <w:marLeft w:val="0"/>
      <w:marRight w:val="0"/>
      <w:marTop w:val="0"/>
      <w:marBottom w:val="0"/>
      <w:divBdr>
        <w:top w:val="none" w:sz="0" w:space="0" w:color="auto"/>
        <w:left w:val="none" w:sz="0" w:space="0" w:color="auto"/>
        <w:bottom w:val="none" w:sz="0" w:space="0" w:color="auto"/>
        <w:right w:val="none" w:sz="0" w:space="0" w:color="auto"/>
      </w:divBdr>
    </w:div>
    <w:div w:id="442768471">
      <w:bodyDiv w:val="1"/>
      <w:marLeft w:val="0"/>
      <w:marRight w:val="0"/>
      <w:marTop w:val="0"/>
      <w:marBottom w:val="0"/>
      <w:divBdr>
        <w:top w:val="none" w:sz="0" w:space="0" w:color="auto"/>
        <w:left w:val="none" w:sz="0" w:space="0" w:color="auto"/>
        <w:bottom w:val="none" w:sz="0" w:space="0" w:color="auto"/>
        <w:right w:val="none" w:sz="0" w:space="0" w:color="auto"/>
      </w:divBdr>
      <w:divsChild>
        <w:div w:id="129709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oruganti saikiran</dc:creator>
  <cp:keywords/>
  <dc:description/>
  <cp:lastModifiedBy>HARISHCHANDER ANANDARAM</cp:lastModifiedBy>
  <cp:revision>11</cp:revision>
  <dcterms:created xsi:type="dcterms:W3CDTF">2021-06-21T03:22:00Z</dcterms:created>
  <dcterms:modified xsi:type="dcterms:W3CDTF">2021-07-26T08:49:00Z</dcterms:modified>
</cp:coreProperties>
</file>