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ascii="Arial" w:hAnsi="Arial" w:cs="Arial"/>
        </w:rPr>
      </w:pPr>
      <w:r>
        <w:rPr>
          <w:rFonts w:ascii="Arial" w:hAnsi="Arial" w:cs="Arial"/>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129540</wp:posOffset>
                </wp:positionV>
                <wp:extent cx="3191510" cy="1404620"/>
                <wp:effectExtent l="0" t="0" r="8890" b="0"/>
                <wp:wrapTopAndBottom/>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191510" cy="1404620"/>
                        </a:xfrm>
                        <a:prstGeom prst="rect">
                          <a:avLst/>
                        </a:prstGeom>
                        <a:solidFill>
                          <a:srgbClr val="FFFFFF"/>
                        </a:solidFill>
                        <a:ln w="9525">
                          <a:noFill/>
                          <a:miter lim="800000"/>
                        </a:ln>
                      </wps:spPr>
                      <wps:txbx>
                        <w:txbxContent>
                          <w:p>
                            <w:pPr>
                              <w:rPr>
                                <w:u w:val="none"/>
                              </w:rPr>
                            </w:pPr>
                            <w:r>
                              <w:rPr>
                                <w:sz w:val="32"/>
                                <w:szCs w:val="32"/>
                                <w:u w:val="none"/>
                                <w:lang w:val="en-US"/>
                              </w:rPr>
                              <w:t>Dasavatar of Lord Jagannath with respect to Management, Evolution and Feminism</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top:10.2pt;height:110.6pt;width:251.3pt;mso-position-horizontal:center;mso-position-horizontal-relative:margin;mso-wrap-distance-bottom:3.6pt;mso-wrap-distance-top:3.6pt;z-index:251659264;mso-width-relative:page;mso-height-relative:margin;mso-height-percent:200;" fillcolor="#FFFFFF" filled="t" stroked="f" coordsize="21600,21600" o:gfxdata="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2TfaPWAAAABwEAAA8AAAAAAAAAAQAgAAAAIgAAAGRycy9kb3ducmV2LnhtbFBLAQIUABQA&#10;AAAIAIdO4kDavbLoKwIAAFQEAAAOAAAAAAAAAAEAIAAAACUBAABkcnMvZTJvRG9jLnhtbFBLBQYA&#10;AAAABgAGAFkBAADCBQAAAAA=&#10;">
                <v:fill on="t" focussize="0,0"/>
                <v:stroke on="f" miterlimit="8" joinstyle="miter"/>
                <v:imagedata o:title=""/>
                <o:lock v:ext="edit" aspectratio="f"/>
                <v:textbox style="mso-fit-shape-to-text:t;">
                  <w:txbxContent>
                    <w:p>
                      <w:pPr>
                        <w:rPr>
                          <w:u w:val="none"/>
                        </w:rPr>
                      </w:pPr>
                      <w:r>
                        <w:rPr>
                          <w:sz w:val="32"/>
                          <w:szCs w:val="32"/>
                          <w:u w:val="none"/>
                          <w:lang w:val="en-US"/>
                        </w:rPr>
                        <w:t>Dasavatar of Lord Jagannath with respect to Management, Evolution and Feminism</w:t>
                      </w:r>
                    </w:p>
                  </w:txbxContent>
                </v:textbox>
                <w10:wrap type="topAndBottom"/>
              </v:shape>
            </w:pict>
          </mc:Fallback>
        </mc:AlternateContent>
      </w:r>
    </w:p>
    <w:p>
      <w:pPr>
        <w:jc w:val="center"/>
        <w:rPr>
          <w:rFonts w:ascii="Arial" w:hAnsi="Arial" w:cs="Arial"/>
        </w:rPr>
      </w:pPr>
      <w:r>
        <w:rPr>
          <w:rFonts w:hint="default" w:ascii="Arial" w:hAnsi="Arial" w:cs="Arial"/>
          <w:lang w:val="en-IN"/>
        </w:rPr>
        <w:t>Golakbihari Palai</w:t>
      </w:r>
      <w:r>
        <w:rPr>
          <w:rStyle w:val="4"/>
          <w:rFonts w:hint="default" w:ascii="Arial" w:hAnsi="Arial" w:cs="Arial"/>
          <w:lang w:val="en-IN"/>
        </w:rPr>
        <w:endnoteReference w:id="0"/>
      </w:r>
      <w:r>
        <w:rPr>
          <w:rFonts w:ascii="Arial" w:hAnsi="Arial" w:cs="Arial"/>
        </w:rPr>
        <w:t xml:space="preserve">, </w:t>
      </w:r>
      <w:r>
        <w:rPr>
          <w:rFonts w:hint="default" w:ascii="Arial" w:hAnsi="Arial" w:cs="Arial"/>
          <w:lang w:val="en-IN"/>
        </w:rPr>
        <w:t>Deepanjali Mishra</w:t>
      </w:r>
      <w:r>
        <w:rPr>
          <w:rFonts w:ascii="Arial" w:hAnsi="Arial" w:cs="Arial"/>
          <w:vertAlign w:val="superscript"/>
        </w:rPr>
        <w:t>2</w:t>
      </w:r>
      <w:r>
        <w:rPr>
          <w:rFonts w:ascii="Arial" w:hAnsi="Arial" w:cs="Arial"/>
        </w:rPr>
        <w:t xml:space="preserve">, </w:t>
      </w:r>
    </w:p>
    <w:p>
      <w:pPr>
        <w:pBdr>
          <w:bottom w:val="single" w:color="auto" w:sz="6" w:space="1"/>
        </w:pBdr>
        <w:jc w:val="center"/>
        <w:rPr>
          <w:rFonts w:hint="default" w:ascii="Arial" w:hAnsi="Arial" w:cs="Arial"/>
          <w:lang w:val="en-IN"/>
        </w:rPr>
      </w:pPr>
      <w:r>
        <w:rPr>
          <w:rFonts w:ascii="Arial" w:hAnsi="Arial" w:cs="Arial"/>
        </w:rPr>
        <w:t xml:space="preserve">Email ID: </w:t>
      </w:r>
      <w:r>
        <w:rPr>
          <w:rFonts w:hint="default" w:ascii="Arial" w:hAnsi="Arial" w:cs="Arial"/>
          <w:lang w:val="en-IN"/>
        </w:rPr>
        <w:t>deepanjalimishra2008@gmail.com</w:t>
      </w:r>
    </w:p>
    <w:p>
      <w:pPr>
        <w:jc w:val="both"/>
        <w:rPr>
          <w:rFonts w:ascii="Arial" w:hAnsi="Arial" w:cs="Arial"/>
        </w:rPr>
      </w:pPr>
      <w:r>
        <w:rPr>
          <w:rFonts w:ascii="Arial" w:hAnsi="Arial" w:cs="Arial"/>
          <w:b/>
          <w:bCs/>
        </w:rPr>
        <w:t xml:space="preserve">Abstract </w:t>
      </w:r>
      <w:r>
        <w:rPr>
          <w:rFonts w:ascii="Arial" w:hAnsi="Arial" w:cs="Arial"/>
        </w:rPr>
        <w:t xml:space="preserve"> </w:t>
      </w:r>
    </w:p>
    <w:p>
      <w:pPr>
        <w:jc w:val="both"/>
        <w:rPr>
          <w:rFonts w:hint="default" w:ascii="Arial" w:hAnsi="Arial" w:cs="Arial"/>
          <w:sz w:val="22"/>
          <w:szCs w:val="22"/>
          <w:lang w:val="en-US"/>
        </w:rPr>
      </w:pPr>
      <w:r>
        <w:rPr>
          <w:rFonts w:hint="default" w:ascii="Arial" w:hAnsi="Arial" w:cs="Arial"/>
          <w:sz w:val="22"/>
          <w:szCs w:val="22"/>
          <w:lang w:val="en-US"/>
        </w:rPr>
        <w:t xml:space="preserve">Lord Sri Jagannath is the presiding Lord of ‘Srikhetra Puri’. All the incarnations of Lord Vishnu emanate from Sri Jagannath. He is an Avataree, the absolute and supreme Divinity. The cultural and ritual panorama of Sri Jagannath is as pulsating, vibrant and colorful as the Lord Himself. His ‘dasavatar’ concept is the </w:t>
      </w:r>
      <w:r>
        <w:rPr>
          <w:rFonts w:hint="default" w:ascii="Arial" w:hAnsi="Arial" w:cs="Arial"/>
          <w:sz w:val="22"/>
          <w:szCs w:val="22"/>
          <w:lang w:val="en-IN"/>
        </w:rPr>
        <w:t>symbolism</w:t>
      </w:r>
      <w:r>
        <w:rPr>
          <w:rFonts w:hint="default" w:ascii="Arial" w:hAnsi="Arial" w:cs="Arial"/>
          <w:sz w:val="22"/>
          <w:szCs w:val="22"/>
          <w:lang w:val="en-US"/>
        </w:rPr>
        <w:t xml:space="preserve"> of the scientific account of evolution, management and feminism. In the changing socio-cultural environment, the dasavatar concept of Lord Jagannath is used as a resource base for the study of physical environment. Indian mythology is very vast and enriched with huge amount of knowledge pertaining to the ten incarnations of Jagannath. The essence of leadership and modern management skill are embedded in His avatar.  The Lord came in different incarnations as a role manager or a leader based on different situations. Dasavatars are being referred to understand the leadership qualities required in the modern management techniques to overcome any kind of situation or problems. Lord Rama and Lord Krishna are the most towering leaders of any time.</w:t>
      </w:r>
    </w:p>
    <w:p>
      <w:pPr>
        <w:jc w:val="both"/>
        <w:rPr>
          <w:rFonts w:hint="default" w:ascii="Arial" w:hAnsi="Arial" w:cs="Arial"/>
          <w:sz w:val="22"/>
          <w:szCs w:val="22"/>
          <w:lang w:val="en-US"/>
        </w:rPr>
      </w:pPr>
      <w:r>
        <w:rPr>
          <w:rFonts w:hint="default" w:ascii="Arial" w:hAnsi="Arial" w:cs="Arial"/>
          <w:sz w:val="22"/>
          <w:szCs w:val="22"/>
          <w:lang w:val="en-US"/>
        </w:rPr>
        <w:t>The Hindu mythological concept ’Dasavatar’ in many ways related to physical environment. Lord Vishnu or Sri Jagannath and His many forms are directly related to environmental concepts. Dasavatar concept adds a large number of fantastic developments to the theory of Evolution. Dasavatar is the epitomized representation of Evolution of life on Earth. Our Vedas made sense in this connection. They Had figured it out in the most prominent way. In ‘Matasya avatar’ life originated in water and fish is the first vertebrates. Secondly ‘Kurma’ avatar represents Amphibians that survive both on land and in sea. ‘Varaha’ avatar is the next milestone in evolution because wild boar is the complete transition from water to land. The next big things on the part of evolution are ‘Narasihma and Vaman’ incarnations. These concepts are synonymous of human species of Homo Sapiens. ‘Parasurama avatar’ refers to cave men or indigenous people who started using weapons. Rama is ‘Marjyadapurushottam’ who knows His limitations with developed skills, moving to civil societies. Lord Krishna , the 8</w:t>
      </w:r>
      <w:r>
        <w:rPr>
          <w:rFonts w:hint="default" w:ascii="Arial" w:hAnsi="Arial" w:cs="Arial"/>
          <w:sz w:val="22"/>
          <w:szCs w:val="22"/>
          <w:vertAlign w:val="superscript"/>
          <w:lang w:val="en-US"/>
        </w:rPr>
        <w:t>th</w:t>
      </w:r>
      <w:r>
        <w:rPr>
          <w:rFonts w:hint="default" w:ascii="Arial" w:hAnsi="Arial" w:cs="Arial"/>
          <w:sz w:val="22"/>
          <w:szCs w:val="22"/>
          <w:lang w:val="en-US"/>
        </w:rPr>
        <w:t xml:space="preserve"> incarnation of Vishnu is more advanced, the greatest visionary with knowledge of democracy and diplomacy. Here theory of evolution is more focused on society added with complexity, manipulation and greed. Buddha or Jagannath avatar is more enlightened and more evolved form of human being: kind, compassionate and trying to answer within. ‘Kalki avatar’ is more revolutionary armored with modern technology and advanced to the level of self-destruction.</w:t>
      </w:r>
    </w:p>
    <w:p>
      <w:pPr>
        <w:jc w:val="both"/>
        <w:rPr>
          <w:rFonts w:hint="default" w:ascii="Arial" w:hAnsi="Arial" w:cs="Arial"/>
          <w:sz w:val="22"/>
          <w:szCs w:val="22"/>
          <w:lang w:val="en-US"/>
        </w:rPr>
      </w:pPr>
      <w:r>
        <w:rPr>
          <w:rFonts w:hint="default" w:ascii="Arial" w:hAnsi="Arial" w:cs="Arial"/>
          <w:sz w:val="22"/>
          <w:szCs w:val="22"/>
          <w:lang w:val="en-US"/>
        </w:rPr>
        <w:t>Violence against women is a world-wide phenomenon as it is present in every country since time immemorial. It has been traced under the grab of cultural practices and norms. For instance, domestic violence is a common issue affecting the lives of women across the countries and cultures. Lord Rama and Lord Krishna have preserved women’s human rights. Actually, they have laid the foundation stone of feminism. According to Lord Krishna, violence against women is one of the crucial social mechanisms and that has to be abolished. In Indian culture women have been considered a symbol of Shakti or power. They have proved themselves to be many times better than men.</w:t>
      </w:r>
    </w:p>
    <w:p>
      <w:pPr>
        <w:rPr>
          <w:rFonts w:hint="default"/>
          <w:b/>
          <w:bCs/>
          <w:sz w:val="28"/>
          <w:szCs w:val="28"/>
          <w:lang w:val="en-IN"/>
        </w:rPr>
      </w:pPr>
      <w:r>
        <w:rPr>
          <w:rFonts w:hint="default" w:ascii="Arial" w:hAnsi="Arial" w:cs="Arial"/>
          <w:sz w:val="22"/>
          <w:szCs w:val="22"/>
          <w:lang w:val="en-IN"/>
        </w:rPr>
        <w:t>Keywords:</w:t>
      </w:r>
      <w:r>
        <w:rPr>
          <w:rFonts w:hint="default"/>
          <w:b/>
          <w:bCs/>
          <w:sz w:val="28"/>
          <w:szCs w:val="28"/>
          <w:lang w:val="en-IN"/>
        </w:rPr>
        <w:t xml:space="preserve"> </w:t>
      </w:r>
      <w:r>
        <w:rPr>
          <w:rFonts w:hint="default" w:ascii="Arial" w:hAnsi="Arial" w:cs="Arial"/>
          <w:b w:val="0"/>
          <w:bCs w:val="0"/>
          <w:sz w:val="22"/>
          <w:szCs w:val="22"/>
          <w:lang w:val="en-IN"/>
        </w:rPr>
        <w:t>Culture, Dasavataar, Mahaprabhu, Jagannath, evolution, Management</w:t>
      </w:r>
    </w:p>
    <w:p>
      <w:pPr>
        <w:jc w:val="both"/>
        <w:rPr>
          <w:rFonts w:ascii="Arial" w:hAnsi="Arial" w:eastAsia="Times New Roman" w:cs="Arial"/>
          <w:color w:val="222222"/>
          <w:lang w:eastAsia="en-IN"/>
        </w:rPr>
      </w:pPr>
      <w:r>
        <w:rPr>
          <w:rFonts w:hint="default" w:ascii="Arial" w:hAnsi="Arial" w:cs="Arial"/>
          <w:sz w:val="22"/>
          <w:szCs w:val="22"/>
          <w:lang w:val="en-IN"/>
        </w:rPr>
        <w:t xml:space="preserve"> </w:t>
      </w:r>
      <w:bookmarkStart w:id="0" w:name="_GoBack"/>
      <w:bookmarkEnd w:id="0"/>
    </w:p>
    <w:p>
      <w:pPr>
        <w:jc w:val="both"/>
        <w:rPr>
          <w:rFonts w:ascii="Arial" w:hAnsi="Arial" w:eastAsia="Times New Roman" w:cs="Arial"/>
          <w:b/>
          <w:bCs/>
          <w:color w:val="222222"/>
          <w:sz w:val="20"/>
          <w:szCs w:val="20"/>
          <w:lang w:eastAsia="en-IN"/>
        </w:rPr>
      </w:pPr>
      <w:r>
        <w:rPr>
          <w:rFonts w:ascii="Arial" w:hAnsi="Arial" w:eastAsia="Times New Roman" w:cs="Arial"/>
          <w:b/>
          <w:bCs/>
          <w:color w:val="222222"/>
          <w:sz w:val="20"/>
          <w:szCs w:val="20"/>
          <w:lang w:eastAsia="en-IN"/>
        </w:rPr>
        <w:t>References</w:t>
      </w:r>
    </w:p>
    <w:p>
      <w:pPr>
        <w:bidi w:val="0"/>
        <w:rPr>
          <w:rFonts w:hint="default" w:ascii="Arial" w:hAnsi="Arial" w:cs="Arial"/>
          <w:sz w:val="20"/>
          <w:szCs w:val="20"/>
          <w:lang w:val="en-IN"/>
        </w:rPr>
      </w:pPr>
      <w:r>
        <w:rPr>
          <w:rFonts w:hint="default" w:ascii="Arial" w:hAnsi="Arial" w:cs="Arial"/>
          <w:sz w:val="20"/>
          <w:szCs w:val="20"/>
          <w:lang w:val="en-IN"/>
        </w:rPr>
        <w:t xml:space="preserve">[1] </w:t>
      </w:r>
      <w:r>
        <w:rPr>
          <w:rFonts w:hint="default" w:ascii="Arial" w:hAnsi="Arial" w:cs="Arial"/>
          <w:sz w:val="20"/>
          <w:szCs w:val="20"/>
        </w:rPr>
        <w:t>Nanda, Prabhat Kumar (June–July 2007). </w:t>
      </w:r>
      <w:r>
        <w:rPr>
          <w:rFonts w:hint="default" w:ascii="Arial" w:hAnsi="Arial" w:cs="Arial"/>
          <w:sz w:val="20"/>
          <w:szCs w:val="20"/>
        </w:rPr>
        <w:fldChar w:fldCharType="begin"/>
      </w:r>
      <w:r>
        <w:rPr>
          <w:rFonts w:hint="default" w:ascii="Arial" w:hAnsi="Arial" w:cs="Arial"/>
          <w:sz w:val="20"/>
          <w:szCs w:val="20"/>
        </w:rPr>
        <w:instrText xml:space="preserve"> HYPERLINK "https://books.google.com/books?id=gFn8wSDfSxEC&amp;pg=PA26" </w:instrText>
      </w:r>
      <w:r>
        <w:rPr>
          <w:rFonts w:hint="default" w:ascii="Arial" w:hAnsi="Arial" w:cs="Arial"/>
          <w:sz w:val="20"/>
          <w:szCs w:val="20"/>
        </w:rPr>
        <w:fldChar w:fldCharType="separate"/>
      </w:r>
      <w:r>
        <w:rPr>
          <w:rFonts w:hint="default" w:ascii="Arial" w:hAnsi="Arial" w:cs="Arial"/>
          <w:sz w:val="20"/>
          <w:szCs w:val="20"/>
        </w:rPr>
        <w:t>Shree Jagannath and Shree Ram</w:t>
      </w:r>
      <w:r>
        <w:rPr>
          <w:rFonts w:hint="default" w:ascii="Arial" w:hAnsi="Arial" w:cs="Arial"/>
          <w:sz w:val="20"/>
          <w:szCs w:val="20"/>
        </w:rPr>
        <w:fldChar w:fldCharType="end"/>
      </w:r>
      <w:r>
        <w:rPr>
          <w:rFonts w:hint="default" w:ascii="Arial" w:hAnsi="Arial" w:cs="Arial"/>
          <w:sz w:val="20"/>
          <w:szCs w:val="20"/>
        </w:rPr>
        <w:t>. Orissa Review. pp. 110–111. </w:t>
      </w:r>
      <w:r>
        <w:rPr>
          <w:rFonts w:hint="default" w:ascii="Arial" w:hAnsi="Arial" w:cs="Arial"/>
          <w:sz w:val="20"/>
          <w:szCs w:val="20"/>
        </w:rPr>
        <w:fldChar w:fldCharType="begin"/>
      </w:r>
      <w:r>
        <w:rPr>
          <w:rFonts w:hint="default" w:ascii="Arial" w:hAnsi="Arial" w:cs="Arial"/>
          <w:sz w:val="20"/>
          <w:szCs w:val="20"/>
        </w:rPr>
        <w:instrText xml:space="preserve"> HYPERLINK "https://en.wikipedia.org/wiki/ISBN_(identifier)" \o "ISBN (identifier)" </w:instrText>
      </w:r>
      <w:r>
        <w:rPr>
          <w:rFonts w:hint="default" w:ascii="Arial" w:hAnsi="Arial" w:cs="Arial"/>
          <w:sz w:val="20"/>
          <w:szCs w:val="20"/>
        </w:rPr>
        <w:fldChar w:fldCharType="separate"/>
      </w:r>
      <w:r>
        <w:rPr>
          <w:rFonts w:hint="default" w:ascii="Arial" w:hAnsi="Arial" w:cs="Arial"/>
          <w:sz w:val="20"/>
          <w:szCs w:val="20"/>
        </w:rPr>
        <w:t>ISBN</w:t>
      </w:r>
      <w:r>
        <w:rPr>
          <w:rFonts w:hint="default" w:ascii="Arial" w:hAnsi="Arial" w:cs="Arial"/>
          <w:sz w:val="20"/>
          <w:szCs w:val="20"/>
        </w:rPr>
        <w:fldChar w:fldCharType="end"/>
      </w:r>
      <w:r>
        <w:rPr>
          <w:rFonts w:hint="default" w:ascii="Arial" w:hAnsi="Arial" w:cs="Arial"/>
          <w:sz w:val="20"/>
          <w:szCs w:val="20"/>
        </w:rPr>
        <w:t> </w:t>
      </w:r>
      <w:r>
        <w:rPr>
          <w:rFonts w:hint="default" w:ascii="Arial" w:hAnsi="Arial" w:cs="Arial"/>
          <w:sz w:val="20"/>
          <w:szCs w:val="20"/>
        </w:rPr>
        <w:fldChar w:fldCharType="begin"/>
      </w:r>
      <w:r>
        <w:rPr>
          <w:rFonts w:hint="default" w:ascii="Arial" w:hAnsi="Arial" w:cs="Arial"/>
          <w:sz w:val="20"/>
          <w:szCs w:val="20"/>
        </w:rPr>
        <w:instrText xml:space="preserve"> HYPERLINK "https://en.wikipedia.org/wiki/Special:BookSources/9789380213224" \o "Special:BookSources/9789380213224" </w:instrText>
      </w:r>
      <w:r>
        <w:rPr>
          <w:rFonts w:hint="default" w:ascii="Arial" w:hAnsi="Arial" w:cs="Arial"/>
          <w:sz w:val="20"/>
          <w:szCs w:val="20"/>
        </w:rPr>
        <w:fldChar w:fldCharType="separate"/>
      </w:r>
      <w:r>
        <w:rPr>
          <w:rFonts w:hint="default" w:ascii="Arial" w:hAnsi="Arial" w:cs="Arial"/>
          <w:sz w:val="20"/>
          <w:szCs w:val="20"/>
        </w:rPr>
        <w:t>9789380213224</w:t>
      </w:r>
      <w:r>
        <w:rPr>
          <w:rFonts w:hint="default" w:ascii="Arial" w:hAnsi="Arial" w:cs="Arial"/>
          <w:sz w:val="20"/>
          <w:szCs w:val="20"/>
        </w:rPr>
        <w:fldChar w:fldCharType="end"/>
      </w:r>
      <w:r>
        <w:rPr>
          <w:rFonts w:hint="default" w:ascii="Arial" w:hAnsi="Arial" w:cs="Arial"/>
          <w:sz w:val="20"/>
          <w:szCs w:val="20"/>
        </w:rPr>
        <w:t>. Retrieved </w:t>
      </w:r>
      <w:r>
        <w:rPr>
          <w:rFonts w:hint="default" w:ascii="Arial" w:hAnsi="Arial" w:cs="Arial"/>
          <w:sz w:val="20"/>
          <w:szCs w:val="20"/>
          <w:lang w:val="en-IN"/>
        </w:rPr>
        <w:t>15 August</w:t>
      </w:r>
      <w:r>
        <w:rPr>
          <w:rFonts w:hint="default" w:ascii="Arial" w:hAnsi="Arial" w:cs="Arial"/>
          <w:sz w:val="20"/>
          <w:szCs w:val="20"/>
        </w:rPr>
        <w:t>r 20</w:t>
      </w:r>
      <w:r>
        <w:rPr>
          <w:rFonts w:hint="default" w:ascii="Arial" w:hAnsi="Arial" w:cs="Arial"/>
          <w:sz w:val="20"/>
          <w:szCs w:val="20"/>
          <w:lang w:val="en-IN"/>
        </w:rPr>
        <w:t>21</w:t>
      </w:r>
    </w:p>
    <w:p>
      <w:pPr>
        <w:bidi w:val="0"/>
        <w:rPr>
          <w:rFonts w:hint="default" w:ascii="Arial" w:hAnsi="Arial" w:cs="Arial"/>
          <w:sz w:val="20"/>
          <w:szCs w:val="20"/>
        </w:rPr>
      </w:pPr>
      <w:r>
        <w:rPr>
          <w:rFonts w:hint="default" w:ascii="Arial" w:hAnsi="Arial" w:cs="Arial"/>
          <w:sz w:val="20"/>
          <w:szCs w:val="20"/>
          <w:lang w:val="en-IN"/>
        </w:rPr>
        <w:t xml:space="preserve">[2] </w:t>
      </w:r>
      <w:r>
        <w:rPr>
          <w:rFonts w:hint="default" w:ascii="Arial" w:hAnsi="Arial" w:cs="Arial"/>
          <w:sz w:val="20"/>
          <w:szCs w:val="20"/>
        </w:rPr>
        <w:t>.Panigrahi, K.C. (1995). History of Orissa. Kitab Mahal. p. 320.</w:t>
      </w:r>
    </w:p>
    <w:p>
      <w:pPr>
        <w:bidi w:val="0"/>
        <w:rPr>
          <w:rFonts w:hint="default" w:ascii="Arial" w:hAnsi="Arial" w:cs="Arial"/>
          <w:sz w:val="20"/>
          <w:szCs w:val="20"/>
        </w:rPr>
      </w:pPr>
      <w:r>
        <w:rPr>
          <w:rFonts w:hint="default" w:ascii="Arial" w:hAnsi="Arial" w:cs="Arial"/>
          <w:sz w:val="20"/>
          <w:szCs w:val="20"/>
          <w:lang w:val="en-IN"/>
        </w:rPr>
        <w:t xml:space="preserve">[3] </w:t>
      </w:r>
      <w:r>
        <w:rPr>
          <w:rFonts w:hint="default" w:ascii="Arial" w:hAnsi="Arial" w:cs="Arial"/>
          <w:sz w:val="20"/>
          <w:szCs w:val="20"/>
        </w:rPr>
        <w:t>Kusuman, K.K. (1990). </w:t>
      </w:r>
      <w:r>
        <w:rPr>
          <w:rFonts w:hint="default" w:ascii="Arial" w:hAnsi="Arial" w:cs="Arial"/>
          <w:sz w:val="20"/>
          <w:szCs w:val="20"/>
        </w:rPr>
        <w:fldChar w:fldCharType="begin"/>
      </w:r>
      <w:r>
        <w:rPr>
          <w:rFonts w:hint="default" w:ascii="Arial" w:hAnsi="Arial" w:cs="Arial"/>
          <w:sz w:val="20"/>
          <w:szCs w:val="20"/>
        </w:rPr>
        <w:instrText xml:space="preserve"> HYPERLINK "https://books.google.com/books?id=z4JqgSUSXDsC&amp;q=guru+nanak+jagannath+puri&amp;pg=PA167" </w:instrText>
      </w:r>
      <w:r>
        <w:rPr>
          <w:rFonts w:hint="default" w:ascii="Arial" w:hAnsi="Arial" w:cs="Arial"/>
          <w:sz w:val="20"/>
          <w:szCs w:val="20"/>
        </w:rPr>
        <w:fldChar w:fldCharType="separate"/>
      </w:r>
      <w:r>
        <w:rPr>
          <w:rFonts w:hint="default" w:ascii="Arial" w:hAnsi="Arial" w:cs="Arial"/>
          <w:sz w:val="20"/>
          <w:szCs w:val="20"/>
        </w:rPr>
        <w:t>A Panorama of Indian Culture: Professor A. Sreedhara Menon Felicitation Volume</w:t>
      </w:r>
      <w:r>
        <w:rPr>
          <w:rFonts w:hint="default" w:ascii="Arial" w:hAnsi="Arial" w:cs="Arial"/>
          <w:sz w:val="20"/>
          <w:szCs w:val="20"/>
        </w:rPr>
        <w:fldChar w:fldCharType="end"/>
      </w:r>
      <w:r>
        <w:rPr>
          <w:rFonts w:hint="default" w:ascii="Arial" w:hAnsi="Arial" w:cs="Arial"/>
          <w:sz w:val="20"/>
          <w:szCs w:val="20"/>
        </w:rPr>
        <w:t>. Mittal Publications. p. 166. .</w:t>
      </w:r>
    </w:p>
    <w:p>
      <w:pPr>
        <w:bidi w:val="0"/>
        <w:rPr>
          <w:rFonts w:hint="default" w:ascii="Arial" w:hAnsi="Arial" w:cs="Arial"/>
          <w:sz w:val="20"/>
          <w:szCs w:val="20"/>
        </w:rPr>
      </w:pPr>
      <w:r>
        <w:rPr>
          <w:rFonts w:hint="default" w:ascii="Arial" w:hAnsi="Arial" w:cs="Arial"/>
          <w:sz w:val="20"/>
          <w:szCs w:val="20"/>
          <w:lang w:val="en-IN"/>
        </w:rPr>
        <w:t xml:space="preserve">[4] </w:t>
      </w:r>
      <w:r>
        <w:rPr>
          <w:rFonts w:hint="default" w:ascii="Arial" w:hAnsi="Arial" w:cs="Arial"/>
          <w:sz w:val="20"/>
          <w:szCs w:val="20"/>
        </w:rPr>
        <w:t>Bryant, Edwin Francis (2004). </w:t>
      </w:r>
      <w:r>
        <w:rPr>
          <w:rFonts w:hint="default" w:ascii="Arial" w:hAnsi="Arial" w:cs="Arial"/>
          <w:sz w:val="20"/>
          <w:szCs w:val="20"/>
        </w:rPr>
        <w:fldChar w:fldCharType="begin"/>
      </w:r>
      <w:r>
        <w:rPr>
          <w:rFonts w:hint="default" w:ascii="Arial" w:hAnsi="Arial" w:cs="Arial"/>
          <w:sz w:val="20"/>
          <w:szCs w:val="20"/>
        </w:rPr>
        <w:instrText xml:space="preserve"> HYPERLINK "https://books.google.com/books?id=mBMxPdgrBhoC&amp;q=chaitanya+mahaprabhu&amp;pg=PA65" </w:instrText>
      </w:r>
      <w:r>
        <w:rPr>
          <w:rFonts w:hint="default" w:ascii="Arial" w:hAnsi="Arial" w:cs="Arial"/>
          <w:sz w:val="20"/>
          <w:szCs w:val="20"/>
        </w:rPr>
        <w:fldChar w:fldCharType="separate"/>
      </w:r>
      <w:r>
        <w:rPr>
          <w:rFonts w:hint="default" w:ascii="Arial" w:hAnsi="Arial" w:cs="Arial"/>
          <w:sz w:val="20"/>
          <w:szCs w:val="20"/>
        </w:rPr>
        <w:t>The Hare Krishna Movement: The Postcharismatic Fate of a Religious Transplant</w:t>
      </w:r>
      <w:r>
        <w:rPr>
          <w:rFonts w:hint="default" w:ascii="Arial" w:hAnsi="Arial" w:cs="Arial"/>
          <w:sz w:val="20"/>
          <w:szCs w:val="20"/>
        </w:rPr>
        <w:fldChar w:fldCharType="end"/>
      </w:r>
      <w:r>
        <w:rPr>
          <w:rFonts w:hint="default" w:ascii="Arial" w:hAnsi="Arial" w:cs="Arial"/>
          <w:sz w:val="20"/>
          <w:szCs w:val="20"/>
        </w:rPr>
        <w:t>. Columbia University Press. pp. 68–71. </w:t>
      </w:r>
    </w:p>
    <w:p>
      <w:pPr>
        <w:bidi w:val="0"/>
        <w:rPr>
          <w:rFonts w:hint="default" w:ascii="Arial" w:hAnsi="Arial" w:cs="Arial"/>
          <w:sz w:val="20"/>
          <w:szCs w:val="20"/>
        </w:rPr>
      </w:pPr>
      <w:r>
        <w:rPr>
          <w:rFonts w:hint="default" w:ascii="Arial" w:hAnsi="Arial" w:cs="Arial"/>
          <w:sz w:val="20"/>
          <w:szCs w:val="20"/>
          <w:lang w:val="en-IN"/>
        </w:rPr>
        <w:t xml:space="preserve">[5] </w:t>
      </w:r>
      <w:r>
        <w:rPr>
          <w:rFonts w:hint="default" w:ascii="Arial" w:hAnsi="Arial" w:cs="Arial"/>
          <w:sz w:val="20"/>
          <w:szCs w:val="20"/>
        </w:rPr>
        <w:t>https://timesofindia.indiatimes.com/religion/rituals-puja/who-is-lord-jagannath/articleshow/76504155.cms</w:t>
      </w:r>
    </w:p>
    <w:p>
      <w:pPr>
        <w:spacing w:after="0"/>
        <w:jc w:val="both"/>
        <w:rPr>
          <w:rFonts w:ascii="Arial" w:hAnsi="Arial" w:eastAsia="Times New Roman" w:cs="Arial"/>
          <w:color w:val="222222"/>
          <w:sz w:val="20"/>
          <w:szCs w:val="20"/>
          <w:lang w:eastAsia="en-IN"/>
        </w:rPr>
      </w:pPr>
      <w:r>
        <w:rPr>
          <w:rFonts w:ascii="Arial" w:hAnsi="Arial" w:eastAsia="Times New Roman" w:cs="Arial"/>
          <w:color w:val="222222"/>
          <w:sz w:val="20"/>
          <w:szCs w:val="20"/>
          <w:lang w:eastAsia="en-IN"/>
        </w:rPr>
        <w:t xml:space="preserve"> </w:t>
      </w:r>
    </w:p>
    <w:sectPr>
      <w:head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5"/>
        <w:snapToGrid w:val="0"/>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Segoe UI" w:hAnsi="Segoe UI" w:cs="Segoe UI"/>
      </w:rPr>
    </w:pPr>
    <w:r>
      <w:rPr>
        <w:rFonts w:ascii="Segoe UI" w:hAnsi="Segoe UI" w:cs="Segoe UI"/>
        <w:b/>
        <w:bCs/>
        <w:color w:val="FF0000"/>
        <w:sz w:val="28"/>
        <w:szCs w:val="28"/>
      </w:rPr>
      <w:t xml:space="preserve">SPAST </w:t>
    </w:r>
    <w:r>
      <w:rPr>
        <w:rFonts w:ascii="Segoe UI" w:hAnsi="Segoe UI" w:cs="Segoe UI"/>
        <w:b/>
        <w:bCs/>
        <w:color w:val="203864" w:themeColor="accent1" w:themeShade="80"/>
        <w:sz w:val="28"/>
        <w:szCs w:val="28"/>
      </w:rPr>
      <w:t>Abstracts</w:t>
    </w:r>
    <w:r>
      <w:rPr>
        <w:rFonts w:ascii="Segoe UI" w:hAnsi="Segoe UI" w:cs="Segoe UI"/>
        <w:b/>
        <w:bCs/>
        <w:color w:val="203864" w:themeColor="accent1" w:themeShade="80"/>
      </w:rPr>
      <w:tab/>
    </w:r>
    <w:r>
      <w:rPr>
        <w:rFonts w:ascii="Segoe UI" w:hAnsi="Segoe UI" w:cs="Segoe UI"/>
        <w:b/>
        <w:bCs/>
        <w:color w:val="203864" w:themeColor="accent1" w:themeShade="80"/>
      </w:rPr>
      <w:tab/>
    </w:r>
    <w:r>
      <w:rPr>
        <w:rFonts w:ascii="Segoe UI" w:hAnsi="Segoe UI" w:cs="Segoe UI"/>
        <w:b/>
        <w:bCs/>
        <w:color w:val="203864" w:themeColor="accent1" w:themeShade="80"/>
        <w:sz w:val="20"/>
        <w:szCs w:val="20"/>
      </w:rPr>
      <w:t xml:space="preserve">Author Name(s), </w:t>
    </w:r>
    <w:r>
      <w:rPr>
        <w:rFonts w:ascii="Segoe UI" w:hAnsi="Segoe UI" w:cs="Segoe UI"/>
        <w:sz w:val="20"/>
        <w:szCs w:val="20"/>
      </w:rPr>
      <w:t>IGCSTS-1,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720"/>
  <w:characterSpacingControl w:val="doNotCompress"/>
  <w:footnotePr>
    <w:footnote w:id="0"/>
    <w:footnote w:id="1"/>
  </w:footnotePr>
  <w:endnotePr>
    <w:endnote w:id="2"/>
    <w:endnote w:id="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9E"/>
    <w:rsid w:val="00083F67"/>
    <w:rsid w:val="002D23BC"/>
    <w:rsid w:val="0045526B"/>
    <w:rsid w:val="005B3640"/>
    <w:rsid w:val="005C28DB"/>
    <w:rsid w:val="006E6C53"/>
    <w:rsid w:val="007C2746"/>
    <w:rsid w:val="009929D7"/>
    <w:rsid w:val="009F159E"/>
    <w:rsid w:val="00B50E7E"/>
    <w:rsid w:val="00C77B93"/>
    <w:rsid w:val="00D64183"/>
    <w:rsid w:val="00E57C1F"/>
    <w:rsid w:val="0CB32544"/>
    <w:rsid w:val="27967314"/>
    <w:rsid w:val="4DCF0886"/>
    <w:rsid w:val="50A71935"/>
    <w:rsid w:val="51737E1D"/>
    <w:rsid w:val="6BB042D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uiPriority w:val="99"/>
    <w:rPr>
      <w:vertAlign w:val="superscript"/>
    </w:rPr>
  </w:style>
  <w:style w:type="paragraph" w:styleId="5">
    <w:name w:val="endnote text"/>
    <w:basedOn w:val="1"/>
    <w:semiHidden/>
    <w:unhideWhenUsed/>
    <w:uiPriority w:val="99"/>
    <w:pPr>
      <w:snapToGrid w:val="0"/>
      <w:jc w:val="left"/>
    </w:pPr>
  </w:style>
  <w:style w:type="paragraph" w:styleId="6">
    <w:name w:val="footer"/>
    <w:basedOn w:val="1"/>
    <w:link w:val="11"/>
    <w:unhideWhenUsed/>
    <w:qFormat/>
    <w:uiPriority w:val="99"/>
    <w:pPr>
      <w:tabs>
        <w:tab w:val="center" w:pos="4513"/>
        <w:tab w:val="right" w:pos="9026"/>
      </w:tabs>
      <w:spacing w:after="0" w:line="240" w:lineRule="auto"/>
    </w:pPr>
  </w:style>
  <w:style w:type="paragraph" w:styleId="7">
    <w:name w:val="header"/>
    <w:basedOn w:val="1"/>
    <w:link w:val="10"/>
    <w:unhideWhenUsed/>
    <w:qFormat/>
    <w:uiPriority w:val="99"/>
    <w:pPr>
      <w:tabs>
        <w:tab w:val="center" w:pos="4513"/>
        <w:tab w:val="right" w:pos="9026"/>
      </w:tabs>
      <w:spacing w:after="0" w:line="240" w:lineRule="auto"/>
    </w:pPr>
  </w:style>
  <w:style w:type="character" w:styleId="8">
    <w:name w:val="Hyperlink"/>
    <w:basedOn w:val="2"/>
    <w:unhideWhenUsed/>
    <w:uiPriority w:val="99"/>
    <w:rPr>
      <w:color w:val="0000FF"/>
      <w:u w:val="single"/>
    </w:rPr>
  </w:style>
  <w:style w:type="table" w:styleId="9">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2"/>
    <w:link w:val="7"/>
    <w:qFormat/>
    <w:uiPriority w:val="99"/>
  </w:style>
  <w:style w:type="character" w:customStyle="1" w:styleId="11">
    <w:name w:val="Footer Char"/>
    <w:basedOn w:val="2"/>
    <w:link w:val="6"/>
    <w:qFormat/>
    <w:uiPriority w:val="99"/>
  </w:style>
  <w:style w:type="paragraph" w:styleId="12">
    <w:name w:val="List Paragraph"/>
    <w:basedOn w:val="1"/>
    <w:qFormat/>
    <w:uiPriority w:val="34"/>
    <w:pPr>
      <w:ind w:left="720"/>
      <w:contextualSpacing/>
    </w:pPr>
  </w:style>
  <w:style w:type="table" w:customStyle="1" w:styleId="13">
    <w:name w:val="Plain Table 4"/>
    <w:basedOn w:val="3"/>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4">
    <w:name w:val="Grid Table 5 Dark Accent 3"/>
    <w:basedOn w:val="3"/>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character" w:customStyle="1" w:styleId="15">
    <w:name w:val="Unresolved Mention"/>
    <w:basedOn w:val="2"/>
    <w:semiHidden/>
    <w:unhideWhenUsed/>
    <w:uiPriority w:val="99"/>
    <w:rPr>
      <w:color w:val="605E5C"/>
      <w:shd w:val="clear" w:color="auto" w:fill="E1DFDD"/>
    </w:rPr>
  </w:style>
  <w:style w:type="table" w:customStyle="1" w:styleId="16">
    <w:name w:val="Plain Table 2"/>
    <w:basedOn w:val="3"/>
    <w:uiPriority w:val="42"/>
    <w:pPr>
      <w:spacing w:after="0" w:line="240" w:lineRule="auto"/>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264</Words>
  <Characters>1510</Characters>
  <Lines>12</Lines>
  <Paragraphs>3</Paragraphs>
  <TotalTime>0</TotalTime>
  <ScaleCrop>false</ScaleCrop>
  <LinksUpToDate>false</LinksUpToDate>
  <CharactersWithSpaces>1771</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2021-06-21T03:22:00Z</dcterms:created>
  <dc:creator>oruganti saikiran</dc:creator>
  <cp:lastModifiedBy>google1580996006</cp:lastModifiedBy>
  <dcterms:modified xsi:type="dcterms:W3CDTF">2021-08-20T05:50:34Z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